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4388E5" w14:textId="7CB2D38C"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4B5701">
        <w:t>10</w:t>
      </w:r>
      <w:r w:rsidR="00365DF9">
        <w:t>7</w:t>
      </w:r>
      <w:r w:rsidR="004B5701">
        <w:t>-e</w:t>
      </w:r>
      <w:r w:rsidRPr="00CE0424">
        <w:tab/>
      </w:r>
      <w:r w:rsidR="004D7E58">
        <w:rPr>
          <w:sz w:val="32"/>
          <w:szCs w:val="32"/>
        </w:rPr>
        <w:t>R1-</w:t>
      </w:r>
      <w:r w:rsidR="005B4E6A" w:rsidRPr="005B4E6A">
        <w:rPr>
          <w:sz w:val="32"/>
          <w:szCs w:val="32"/>
        </w:rPr>
        <w:t>21</w:t>
      </w:r>
      <w:r w:rsidR="007478F0">
        <w:rPr>
          <w:sz w:val="32"/>
          <w:szCs w:val="32"/>
        </w:rPr>
        <w:t>10769</w:t>
      </w:r>
    </w:p>
    <w:p w14:paraId="3086AC07" w14:textId="0C1FD5D7" w:rsidR="00E90E49" w:rsidRPr="00CE0424" w:rsidRDefault="004B5701" w:rsidP="00D333B4">
      <w:pPr>
        <w:pStyle w:val="3GPPHeader"/>
      </w:pPr>
      <w:r w:rsidRPr="004B5701">
        <w:t xml:space="preserve">e-Meeting, </w:t>
      </w:r>
      <w:r w:rsidR="00617D36" w:rsidRPr="000C1E12">
        <w:t>1</w:t>
      </w:r>
      <w:r w:rsidR="00E34A57">
        <w:t>1</w:t>
      </w:r>
      <w:r w:rsidR="00617D36" w:rsidRPr="000C1E12">
        <w:rPr>
          <w:vertAlign w:val="superscript"/>
        </w:rPr>
        <w:t>th</w:t>
      </w:r>
      <w:r w:rsidR="00617D36" w:rsidRPr="000C1E12">
        <w:t xml:space="preserve"> – </w:t>
      </w:r>
      <w:r w:rsidR="00E34A57">
        <w:t>19</w:t>
      </w:r>
      <w:r w:rsidR="00617D36" w:rsidRPr="000C1E12">
        <w:rPr>
          <w:vertAlign w:val="superscript"/>
        </w:rPr>
        <w:t>th</w:t>
      </w:r>
      <w:r w:rsidR="00617D36" w:rsidRPr="000C1E12">
        <w:t xml:space="preserve"> </w:t>
      </w:r>
      <w:r w:rsidR="001B0C4F">
        <w:t>November</w:t>
      </w:r>
      <w:r w:rsidR="00617D36" w:rsidRPr="000C1E12">
        <w:t xml:space="preserve"> 2021</w:t>
      </w:r>
    </w:p>
    <w:p w14:paraId="22EC0BC4" w14:textId="77777777" w:rsidR="005B4284" w:rsidRDefault="005B4284" w:rsidP="00311702">
      <w:pPr>
        <w:pStyle w:val="3GPPHeader"/>
        <w:rPr>
          <w:sz w:val="22"/>
        </w:rPr>
      </w:pPr>
    </w:p>
    <w:p w14:paraId="3982483C" w14:textId="02FC44E7" w:rsidR="00E90E49" w:rsidRPr="00E60D85" w:rsidRDefault="00E90E49" w:rsidP="00311702">
      <w:pPr>
        <w:pStyle w:val="3GPPHeader"/>
        <w:rPr>
          <w:sz w:val="22"/>
        </w:rPr>
      </w:pPr>
      <w:r w:rsidRPr="00E60D85">
        <w:rPr>
          <w:sz w:val="22"/>
        </w:rPr>
        <w:t>Agenda Item:</w:t>
      </w:r>
      <w:r w:rsidRPr="00E60D85">
        <w:rPr>
          <w:sz w:val="22"/>
        </w:rPr>
        <w:tab/>
      </w:r>
      <w:r w:rsidR="00633732" w:rsidRPr="00633732">
        <w:rPr>
          <w:rFonts w:eastAsia="Times New Roman"/>
          <w:sz w:val="22"/>
          <w:szCs w:val="20"/>
        </w:rPr>
        <w:t>8.6.1.1</w:t>
      </w:r>
    </w:p>
    <w:p w14:paraId="5619E868" w14:textId="340C98CB"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783D70B4" w14:textId="77777777" w:rsidR="00633732" w:rsidRDefault="003D3C45" w:rsidP="00633732">
      <w:pPr>
        <w:pStyle w:val="3GPPHeader"/>
        <w:rPr>
          <w:sz w:val="22"/>
        </w:rPr>
      </w:pPr>
      <w:r>
        <w:rPr>
          <w:sz w:val="22"/>
        </w:rPr>
        <w:t>Title:</w:t>
      </w:r>
      <w:r w:rsidR="00E90E49" w:rsidRPr="00CE0424">
        <w:rPr>
          <w:sz w:val="22"/>
        </w:rPr>
        <w:tab/>
      </w:r>
      <w:r w:rsidR="00633732" w:rsidRPr="00633732">
        <w:rPr>
          <w:sz w:val="22"/>
        </w:rPr>
        <w:t>Reduced maximum UE bandwidth for RedCap</w:t>
      </w:r>
      <w:r w:rsidR="00633732" w:rsidRPr="00633732" w:rsidDel="00633732">
        <w:rPr>
          <w:sz w:val="22"/>
        </w:rPr>
        <w:t xml:space="preserve"> </w:t>
      </w:r>
    </w:p>
    <w:p w14:paraId="5EEE0E0D" w14:textId="4EB78DF1" w:rsidR="00633732" w:rsidRPr="003704CF" w:rsidRDefault="00E90E49" w:rsidP="009F50C8">
      <w:pPr>
        <w:pStyle w:val="3GPPHeader"/>
        <w:rPr>
          <w:sz w:val="22"/>
        </w:rPr>
      </w:pPr>
      <w:r w:rsidRPr="00CE0424">
        <w:rPr>
          <w:sz w:val="22"/>
        </w:rPr>
        <w:t>Document for:</w:t>
      </w:r>
      <w:r w:rsidRPr="00CE0424">
        <w:rPr>
          <w:sz w:val="22"/>
        </w:rPr>
        <w:tab/>
      </w:r>
      <w:r w:rsidRPr="00A46FA0">
        <w:rPr>
          <w:sz w:val="22"/>
        </w:rPr>
        <w:t>Discussion, Decision</w:t>
      </w:r>
    </w:p>
    <w:p w14:paraId="5F70F9F3" w14:textId="16200755" w:rsidR="00F54355" w:rsidRPr="000C1E12" w:rsidRDefault="00633732" w:rsidP="00633732">
      <w:pPr>
        <w:pStyle w:val="Heading1"/>
        <w:rPr>
          <w:lang w:val="en-US"/>
        </w:rPr>
      </w:pPr>
      <w:r w:rsidRPr="000C1E12">
        <w:rPr>
          <w:lang w:val="en-US"/>
        </w:rPr>
        <w:t>1</w:t>
      </w:r>
      <w:r w:rsidR="00F54355" w:rsidRPr="000C1E12">
        <w:rPr>
          <w:lang w:val="en-US"/>
        </w:rPr>
        <w:tab/>
      </w:r>
      <w:r w:rsidRPr="000C1E12">
        <w:rPr>
          <w:lang w:val="en-US"/>
        </w:rPr>
        <w:t>Introduction</w:t>
      </w:r>
    </w:p>
    <w:p w14:paraId="0256522E" w14:textId="546B7CE7" w:rsidR="00F54355" w:rsidRPr="000C1E12" w:rsidRDefault="00A56AE8" w:rsidP="00A11EC1">
      <w:pPr>
        <w:jc w:val="both"/>
        <w:rPr>
          <w:lang w:eastAsia="ja-JP"/>
        </w:rPr>
      </w:pPr>
      <w:r w:rsidRPr="000C1E12">
        <w:rPr>
          <w:lang w:eastAsia="ja-JP"/>
        </w:rPr>
        <w:t>According to</w:t>
      </w:r>
      <w:r w:rsidR="00F335DF" w:rsidRPr="000C1E12">
        <w:rPr>
          <w:lang w:eastAsia="ja-JP"/>
        </w:rPr>
        <w:t xml:space="preserve"> the </w:t>
      </w:r>
      <w:r w:rsidR="001F265A" w:rsidRPr="000C1E12">
        <w:rPr>
          <w:lang w:eastAsia="ja-JP"/>
        </w:rPr>
        <w:t xml:space="preserve">Rel-17 </w:t>
      </w:r>
      <w:r w:rsidR="00F335DF" w:rsidRPr="000C1E12">
        <w:rPr>
          <w:lang w:eastAsia="ja-JP"/>
        </w:rPr>
        <w:t>work item</w:t>
      </w:r>
      <w:r w:rsidR="001F265A" w:rsidRPr="000C1E12">
        <w:rPr>
          <w:lang w:eastAsia="ja-JP"/>
        </w:rPr>
        <w:t xml:space="preserve"> description on support of reduced capability NR devices</w:t>
      </w:r>
      <w:r w:rsidRPr="000C1E12">
        <w:rPr>
          <w:lang w:eastAsia="ja-JP"/>
        </w:rPr>
        <w:t xml:space="preserve"> </w:t>
      </w:r>
      <w:r w:rsidR="004A6671" w:rsidRPr="000C1E12">
        <w:rPr>
          <w:lang w:eastAsia="ja-JP"/>
        </w:rPr>
        <w:fldChar w:fldCharType="begin"/>
      </w:r>
      <w:r w:rsidR="004A6671" w:rsidRPr="000C1E12">
        <w:rPr>
          <w:lang w:eastAsia="ja-JP"/>
        </w:rPr>
        <w:instrText xml:space="preserve"> REF _Ref65143491 \r \h </w:instrText>
      </w:r>
      <w:r w:rsidR="00A11EC1">
        <w:rPr>
          <w:lang w:eastAsia="ja-JP"/>
        </w:rPr>
        <w:instrText xml:space="preserve"> \* MERGEFORMAT </w:instrText>
      </w:r>
      <w:r w:rsidR="004A6671" w:rsidRPr="000C1E12">
        <w:rPr>
          <w:lang w:eastAsia="ja-JP"/>
        </w:rPr>
      </w:r>
      <w:r w:rsidR="004A6671" w:rsidRPr="000C1E12">
        <w:rPr>
          <w:lang w:eastAsia="ja-JP"/>
        </w:rPr>
        <w:fldChar w:fldCharType="separate"/>
      </w:r>
      <w:r w:rsidR="007A78E0">
        <w:rPr>
          <w:lang w:eastAsia="ja-JP"/>
        </w:rPr>
        <w:t>[1]</w:t>
      </w:r>
      <w:r w:rsidR="004A6671" w:rsidRPr="000C1E12">
        <w:rPr>
          <w:lang w:eastAsia="ja-JP"/>
        </w:rPr>
        <w:fldChar w:fldCharType="end"/>
      </w:r>
      <w:r w:rsidR="004A6671" w:rsidRPr="000C1E12">
        <w:rPr>
          <w:lang w:eastAsia="ja-JP"/>
        </w:rPr>
        <w:t>, the</w:t>
      </w:r>
      <w:r w:rsidRPr="000C1E12">
        <w:rPr>
          <w:lang w:eastAsia="ja-JP"/>
        </w:rPr>
        <w:t xml:space="preserve"> objective on reduced maximum UE bandwidths</w:t>
      </w:r>
      <w:r w:rsidR="004A6671" w:rsidRPr="000C1E12">
        <w:rPr>
          <w:lang w:eastAsia="ja-JP"/>
        </w:rPr>
        <w:t xml:space="preserve"> is as follows</w:t>
      </w:r>
      <w:r w:rsidR="002E44D1" w:rsidRPr="000C1E12">
        <w:rPr>
          <w:lang w:eastAsia="ja-JP"/>
        </w:rPr>
        <w:t>:</w:t>
      </w:r>
    </w:p>
    <w:tbl>
      <w:tblPr>
        <w:tblStyle w:val="TableGrid"/>
        <w:tblW w:w="9634" w:type="dxa"/>
        <w:tblLook w:val="04A0" w:firstRow="1" w:lastRow="0" w:firstColumn="1" w:lastColumn="0" w:noHBand="0" w:noVBand="1"/>
      </w:tblPr>
      <w:tblGrid>
        <w:gridCol w:w="9634"/>
      </w:tblGrid>
      <w:tr w:rsidR="004A6671" w:rsidRPr="006D7C88" w14:paraId="5B5521A9" w14:textId="77777777" w:rsidTr="00440FA6">
        <w:trPr>
          <w:trHeight w:val="1074"/>
        </w:trPr>
        <w:tc>
          <w:tcPr>
            <w:tcW w:w="9634" w:type="dxa"/>
          </w:tcPr>
          <w:p w14:paraId="1BED9080" w14:textId="77777777" w:rsidR="00EE3F8F" w:rsidRPr="00CA6CD7" w:rsidRDefault="00EE3F8F" w:rsidP="005B4D5E">
            <w:pPr>
              <w:pStyle w:val="ListParagraph"/>
              <w:numPr>
                <w:ilvl w:val="0"/>
                <w:numId w:val="12"/>
              </w:numPr>
              <w:rPr>
                <w:rFonts w:ascii="Times New Roman" w:hAnsi="Times New Roman" w:cs="Times New Roman"/>
                <w:sz w:val="20"/>
                <w:szCs w:val="20"/>
                <w:lang w:val="en-US" w:eastAsia="ja-JP"/>
              </w:rPr>
            </w:pPr>
            <w:r w:rsidRPr="00CA6CD7">
              <w:rPr>
                <w:rFonts w:ascii="Times New Roman" w:hAnsi="Times New Roman" w:cs="Times New Roman"/>
                <w:sz w:val="20"/>
                <w:szCs w:val="20"/>
                <w:lang w:val="en-US" w:eastAsia="ja-JP"/>
              </w:rPr>
              <w:t>Specify support for the following UE complexity reduction features [RAN1, RAN2, RAN4]:</w:t>
            </w:r>
          </w:p>
          <w:p w14:paraId="03CD4AB5" w14:textId="77777777" w:rsidR="00EE3F8F" w:rsidRPr="00CA6CD7" w:rsidRDefault="00EE3F8F" w:rsidP="005B4D5E">
            <w:pPr>
              <w:pStyle w:val="ListParagraph"/>
              <w:numPr>
                <w:ilvl w:val="1"/>
                <w:numId w:val="12"/>
              </w:numPr>
              <w:rPr>
                <w:rFonts w:ascii="Times New Roman" w:hAnsi="Times New Roman" w:cs="Times New Roman"/>
                <w:sz w:val="20"/>
                <w:szCs w:val="20"/>
                <w:lang w:val="en-US" w:eastAsia="ja-JP"/>
              </w:rPr>
            </w:pPr>
            <w:r w:rsidRPr="00CA6CD7">
              <w:rPr>
                <w:rFonts w:ascii="Times New Roman" w:hAnsi="Times New Roman" w:cs="Times New Roman"/>
                <w:sz w:val="20"/>
                <w:szCs w:val="20"/>
                <w:lang w:val="en-US" w:eastAsia="ja-JP"/>
              </w:rPr>
              <w:t>Reduced maximum UE bandwidth:</w:t>
            </w:r>
          </w:p>
          <w:p w14:paraId="25562B6B" w14:textId="77777777" w:rsidR="008B25F7" w:rsidRPr="00CA6CD7" w:rsidRDefault="008B25F7" w:rsidP="005B4D5E">
            <w:pPr>
              <w:pStyle w:val="ListParagraph"/>
              <w:numPr>
                <w:ilvl w:val="2"/>
                <w:numId w:val="12"/>
              </w:numPr>
              <w:rPr>
                <w:rFonts w:ascii="Times New Roman" w:hAnsi="Times New Roman" w:cs="Times New Roman"/>
                <w:sz w:val="20"/>
                <w:szCs w:val="20"/>
                <w:lang w:val="en-US" w:eastAsia="ja-JP"/>
              </w:rPr>
            </w:pPr>
            <w:r w:rsidRPr="00CA6CD7">
              <w:rPr>
                <w:rFonts w:ascii="Times New Roman" w:hAnsi="Times New Roman" w:cs="Times New Roman"/>
                <w:sz w:val="20"/>
                <w:szCs w:val="20"/>
                <w:lang w:val="en-US" w:eastAsia="ja-JP"/>
              </w:rPr>
              <w:t xml:space="preserve">Maximum bandwidth of an FR1 RedCap UE during and after initial access is 20 </w:t>
            </w:r>
            <w:proofErr w:type="spellStart"/>
            <w:r w:rsidRPr="00CA6CD7">
              <w:rPr>
                <w:rFonts w:ascii="Times New Roman" w:hAnsi="Times New Roman" w:cs="Times New Roman"/>
                <w:sz w:val="20"/>
                <w:szCs w:val="20"/>
                <w:lang w:val="en-US" w:eastAsia="ja-JP"/>
              </w:rPr>
              <w:t>MHz.</w:t>
            </w:r>
            <w:proofErr w:type="spellEnd"/>
            <w:r w:rsidRPr="00CA6CD7">
              <w:rPr>
                <w:rFonts w:ascii="Times New Roman" w:hAnsi="Times New Roman" w:cs="Times New Roman"/>
                <w:sz w:val="20"/>
                <w:szCs w:val="20"/>
                <w:lang w:val="en-US" w:eastAsia="ja-JP"/>
              </w:rPr>
              <w:t xml:space="preserve"> </w:t>
            </w:r>
          </w:p>
          <w:p w14:paraId="1C67F600" w14:textId="3A077D70" w:rsidR="00EE3F8F" w:rsidRPr="00D92252" w:rsidRDefault="0049793D" w:rsidP="00D92252">
            <w:pPr>
              <w:pStyle w:val="ListParagraph"/>
              <w:numPr>
                <w:ilvl w:val="2"/>
                <w:numId w:val="12"/>
              </w:numPr>
              <w:rPr>
                <w:rFonts w:ascii="Times New Roman" w:hAnsi="Times New Roman" w:cs="Times New Roman"/>
                <w:sz w:val="18"/>
                <w:szCs w:val="18"/>
                <w:lang w:val="en-US" w:eastAsia="ja-JP"/>
              </w:rPr>
            </w:pPr>
            <w:r w:rsidRPr="00CA6CD7">
              <w:rPr>
                <w:rFonts w:ascii="Times New Roman" w:hAnsi="Times New Roman" w:cs="Times New Roman"/>
                <w:sz w:val="20"/>
                <w:szCs w:val="20"/>
                <w:lang w:val="en-US" w:eastAsia="ja-JP"/>
              </w:rPr>
              <w:t xml:space="preserve">Maximum bandwidth of an FR2 RedCap UE during and after initial access is 100 </w:t>
            </w:r>
            <w:proofErr w:type="spellStart"/>
            <w:r w:rsidRPr="00CA6CD7">
              <w:rPr>
                <w:rFonts w:ascii="Times New Roman" w:hAnsi="Times New Roman" w:cs="Times New Roman"/>
                <w:sz w:val="20"/>
                <w:szCs w:val="20"/>
                <w:lang w:val="en-US" w:eastAsia="ja-JP"/>
              </w:rPr>
              <w:t>MHz.</w:t>
            </w:r>
            <w:proofErr w:type="spellEnd"/>
          </w:p>
        </w:tc>
      </w:tr>
    </w:tbl>
    <w:p w14:paraId="0F57EDC0" w14:textId="77777777" w:rsidR="00D90B6D" w:rsidRDefault="00D90B6D" w:rsidP="00A11EC1">
      <w:pPr>
        <w:jc w:val="both"/>
      </w:pPr>
    </w:p>
    <w:p w14:paraId="4517D12C" w14:textId="2EF3F049" w:rsidR="00692EF0" w:rsidRPr="007B3112" w:rsidRDefault="009004FB" w:rsidP="007B3112">
      <w:pPr>
        <w:jc w:val="both"/>
        <w:rPr>
          <w:szCs w:val="20"/>
          <w:lang w:eastAsia="ja-JP"/>
        </w:rPr>
      </w:pPr>
      <w:r w:rsidRPr="000C1E12">
        <w:rPr>
          <w:szCs w:val="20"/>
          <w:lang w:eastAsia="ja-JP"/>
        </w:rPr>
        <w:t xml:space="preserve">In </w:t>
      </w:r>
      <w:r w:rsidR="00CC7BD9">
        <w:t>RAN1#10</w:t>
      </w:r>
      <w:r w:rsidR="007B3112">
        <w:t>6</w:t>
      </w:r>
      <w:r w:rsidR="00CC7BD9">
        <w:t>-e</w:t>
      </w:r>
      <w:r w:rsidRPr="000C1E12">
        <w:rPr>
          <w:szCs w:val="20"/>
          <w:lang w:eastAsia="ja-JP"/>
        </w:rPr>
        <w:t>, the following agreements</w:t>
      </w:r>
      <w:r w:rsidR="00EC490F">
        <w:rPr>
          <w:szCs w:val="20"/>
          <w:lang w:eastAsia="ja-JP"/>
        </w:rPr>
        <w:t xml:space="preserve"> and working assumptions</w:t>
      </w:r>
      <w:r w:rsidRPr="000C1E12">
        <w:rPr>
          <w:szCs w:val="20"/>
          <w:lang w:eastAsia="ja-JP"/>
        </w:rPr>
        <w:t xml:space="preserve"> on reduced maximum UE bandwidths were reached </w:t>
      </w:r>
      <w:r>
        <w:fldChar w:fldCharType="begin"/>
      </w:r>
      <w:r>
        <w:instrText xml:space="preserve"> REF _Ref70404129 \r \h </w:instrText>
      </w:r>
      <w:r w:rsidR="00A11EC1">
        <w:instrText xml:space="preserve"> \* MERGEFORMAT </w:instrText>
      </w:r>
      <w:r>
        <w:fldChar w:fldCharType="separate"/>
      </w:r>
      <w:r w:rsidR="007A78E0">
        <w:t>[2]</w:t>
      </w:r>
      <w:r>
        <w:fldChar w:fldCharType="end"/>
      </w:r>
      <w:r w:rsidRPr="000C1E12">
        <w:rPr>
          <w:szCs w:val="20"/>
          <w:lang w:eastAsia="ja-JP"/>
        </w:rPr>
        <w:t>:</w:t>
      </w:r>
    </w:p>
    <w:tbl>
      <w:tblPr>
        <w:tblW w:w="9629" w:type="dxa"/>
        <w:tblCellMar>
          <w:left w:w="0" w:type="dxa"/>
          <w:right w:w="0" w:type="dxa"/>
        </w:tblCellMar>
        <w:tblLook w:val="04A0" w:firstRow="1" w:lastRow="0" w:firstColumn="1" w:lastColumn="0" w:noHBand="0" w:noVBand="1"/>
      </w:tblPr>
      <w:tblGrid>
        <w:gridCol w:w="9629"/>
      </w:tblGrid>
      <w:tr w:rsidR="000A74D9" w14:paraId="57C10072" w14:textId="77777777" w:rsidTr="00A83828">
        <w:tc>
          <w:tcPr>
            <w:tcW w:w="9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BDC9E3" w14:textId="77777777" w:rsidR="000A74D9" w:rsidRPr="003E4DBD" w:rsidRDefault="000A74D9" w:rsidP="008E4EAC">
            <w:pPr>
              <w:autoSpaceDN w:val="0"/>
              <w:spacing w:line="252" w:lineRule="auto"/>
              <w:contextualSpacing/>
              <w:rPr>
                <w:rFonts w:ascii="Times New Roman" w:hAnsi="Times New Roman"/>
                <w:szCs w:val="20"/>
              </w:rPr>
            </w:pPr>
            <w:r w:rsidRPr="008907FE">
              <w:rPr>
                <w:rFonts w:ascii="Times New Roman" w:hAnsi="Times New Roman"/>
                <w:szCs w:val="20"/>
                <w:highlight w:val="green"/>
              </w:rPr>
              <w:t>Agreements:</w:t>
            </w:r>
          </w:p>
          <w:p w14:paraId="77F6E09B" w14:textId="77777777" w:rsidR="000A74D9" w:rsidRPr="003E4DBD" w:rsidRDefault="000A74D9" w:rsidP="008E4EAC">
            <w:pPr>
              <w:autoSpaceDN w:val="0"/>
              <w:spacing w:line="252" w:lineRule="auto"/>
              <w:contextualSpacing/>
              <w:rPr>
                <w:rFonts w:ascii="Times New Roman" w:hAnsi="Times New Roman"/>
                <w:szCs w:val="20"/>
              </w:rPr>
            </w:pPr>
            <w:r w:rsidRPr="003E4DBD">
              <w:rPr>
                <w:rFonts w:ascii="Times New Roman" w:hAnsi="Times New Roman"/>
                <w:szCs w:val="20"/>
              </w:rPr>
              <w:t>Replace the RAN1#104bis-e working assumption with the following agreement:</w:t>
            </w:r>
          </w:p>
          <w:p w14:paraId="551394AA" w14:textId="77777777" w:rsidR="000A74D9" w:rsidRPr="003E4DBD" w:rsidRDefault="000A74D9" w:rsidP="001925A8">
            <w:pPr>
              <w:numPr>
                <w:ilvl w:val="0"/>
                <w:numId w:val="17"/>
              </w:numPr>
              <w:autoSpaceDN w:val="0"/>
              <w:spacing w:after="0" w:line="252" w:lineRule="auto"/>
              <w:contextualSpacing/>
              <w:rPr>
                <w:rFonts w:ascii="Times New Roman" w:hAnsi="Times New Roman"/>
                <w:szCs w:val="20"/>
              </w:rPr>
            </w:pPr>
            <w:r w:rsidRPr="003E4DBD">
              <w:rPr>
                <w:rFonts w:ascii="Times New Roman" w:hAnsi="Times New Roman"/>
                <w:szCs w:val="20"/>
              </w:rPr>
              <w:t>During initial access, the bandwidth of the initial DL BWP for RedCap UEs is not expected to exceed the maximum RedCap UE bandwidth.</w:t>
            </w:r>
          </w:p>
          <w:p w14:paraId="6B3B2F6C" w14:textId="77777777" w:rsidR="000A74D9" w:rsidRPr="003E4DBD" w:rsidRDefault="000A74D9" w:rsidP="001925A8">
            <w:pPr>
              <w:numPr>
                <w:ilvl w:val="1"/>
                <w:numId w:val="17"/>
              </w:numPr>
              <w:autoSpaceDN w:val="0"/>
              <w:spacing w:after="0" w:line="252" w:lineRule="auto"/>
              <w:contextualSpacing/>
              <w:rPr>
                <w:rFonts w:ascii="Times New Roman" w:hAnsi="Times New Roman"/>
                <w:szCs w:val="20"/>
              </w:rPr>
            </w:pPr>
            <w:r w:rsidRPr="003E4DBD">
              <w:rPr>
                <w:rFonts w:ascii="Times New Roman" w:hAnsi="Times New Roman"/>
                <w:szCs w:val="20"/>
              </w:rPr>
              <w:t>RedCap UEs and non-RedCap UEs can share the same MIB-configured initial DL BWP (including the bandwidth and location).</w:t>
            </w:r>
          </w:p>
          <w:p w14:paraId="58973121" w14:textId="77777777" w:rsidR="000A74D9" w:rsidRPr="003E4DBD" w:rsidRDefault="000A74D9" w:rsidP="001925A8">
            <w:pPr>
              <w:numPr>
                <w:ilvl w:val="1"/>
                <w:numId w:val="17"/>
              </w:numPr>
              <w:autoSpaceDN w:val="0"/>
              <w:spacing w:after="0" w:line="252" w:lineRule="auto"/>
              <w:contextualSpacing/>
              <w:rPr>
                <w:rFonts w:ascii="Times New Roman" w:hAnsi="Times New Roman"/>
                <w:szCs w:val="20"/>
              </w:rPr>
            </w:pPr>
            <w:r w:rsidRPr="003E4DBD">
              <w:rPr>
                <w:rFonts w:ascii="Times New Roman" w:hAnsi="Times New Roman"/>
                <w:szCs w:val="20"/>
              </w:rPr>
              <w:t>This does not preclude a SIB-configured initial DL BWP for non-RedCap UEs only with a wider bandwidth than the maximum RedCap UE bandwidth.</w:t>
            </w:r>
          </w:p>
          <w:p w14:paraId="3B44923C" w14:textId="77777777" w:rsidR="000A74D9" w:rsidRPr="003E4DBD" w:rsidRDefault="000A74D9" w:rsidP="001925A8">
            <w:pPr>
              <w:numPr>
                <w:ilvl w:val="1"/>
                <w:numId w:val="17"/>
              </w:numPr>
              <w:autoSpaceDN w:val="0"/>
              <w:spacing w:after="0" w:line="252" w:lineRule="auto"/>
              <w:contextualSpacing/>
              <w:rPr>
                <w:rFonts w:ascii="Times New Roman" w:hAnsi="Times New Roman"/>
                <w:szCs w:val="20"/>
              </w:rPr>
            </w:pPr>
            <w:r w:rsidRPr="003E4DBD">
              <w:rPr>
                <w:rFonts w:ascii="Times New Roman" w:hAnsi="Times New Roman"/>
                <w:szCs w:val="20"/>
              </w:rPr>
              <w:t>This does not preclude separate or additional bandwidth and location for initial DL BWP for RedCap UEs.</w:t>
            </w:r>
          </w:p>
          <w:p w14:paraId="50AADA11" w14:textId="77777777" w:rsidR="000A74D9" w:rsidRPr="003E4DBD" w:rsidRDefault="000A74D9" w:rsidP="008E4EAC">
            <w:pPr>
              <w:autoSpaceDN w:val="0"/>
              <w:spacing w:line="252" w:lineRule="auto"/>
              <w:contextualSpacing/>
              <w:rPr>
                <w:rFonts w:ascii="Times New Roman" w:hAnsi="Times New Roman"/>
                <w:szCs w:val="20"/>
              </w:rPr>
            </w:pPr>
            <w:r w:rsidRPr="003E4DBD">
              <w:rPr>
                <w:rFonts w:ascii="Times New Roman" w:hAnsi="Times New Roman"/>
                <w:b/>
                <w:bCs/>
                <w:szCs w:val="20"/>
              </w:rPr>
              <w:t> </w:t>
            </w:r>
          </w:p>
          <w:p w14:paraId="457CA8F3" w14:textId="77777777" w:rsidR="000A74D9" w:rsidRPr="003E4DBD" w:rsidRDefault="000A74D9" w:rsidP="008E4EAC">
            <w:pPr>
              <w:autoSpaceDN w:val="0"/>
              <w:spacing w:line="252" w:lineRule="auto"/>
              <w:contextualSpacing/>
              <w:rPr>
                <w:rFonts w:ascii="Times New Roman" w:hAnsi="Times New Roman"/>
                <w:szCs w:val="20"/>
              </w:rPr>
            </w:pPr>
            <w:r w:rsidRPr="008907FE">
              <w:rPr>
                <w:rFonts w:ascii="Times New Roman" w:hAnsi="Times New Roman"/>
                <w:szCs w:val="20"/>
                <w:highlight w:val="green"/>
              </w:rPr>
              <w:t>Agreements:</w:t>
            </w:r>
          </w:p>
          <w:p w14:paraId="5A6A45E5" w14:textId="77777777" w:rsidR="000A74D9" w:rsidRPr="003E4DBD" w:rsidRDefault="000A74D9" w:rsidP="008E4EAC">
            <w:pPr>
              <w:autoSpaceDN w:val="0"/>
              <w:spacing w:line="252" w:lineRule="auto"/>
              <w:contextualSpacing/>
              <w:rPr>
                <w:rFonts w:ascii="Times New Roman" w:hAnsi="Times New Roman"/>
                <w:szCs w:val="20"/>
              </w:rPr>
            </w:pPr>
            <w:r w:rsidRPr="003E4DBD">
              <w:rPr>
                <w:rFonts w:ascii="Times New Roman" w:hAnsi="Times New Roman"/>
                <w:szCs w:val="20"/>
              </w:rPr>
              <w:t xml:space="preserve"> Confirm the following working assumptions from RAN1#105-e:</w:t>
            </w:r>
          </w:p>
          <w:p w14:paraId="3A08574E" w14:textId="77777777" w:rsidR="000A74D9" w:rsidRPr="003E4DBD" w:rsidRDefault="000A74D9" w:rsidP="001925A8">
            <w:pPr>
              <w:numPr>
                <w:ilvl w:val="0"/>
                <w:numId w:val="18"/>
              </w:numPr>
              <w:autoSpaceDN w:val="0"/>
              <w:spacing w:after="0" w:line="252" w:lineRule="auto"/>
              <w:contextualSpacing/>
              <w:rPr>
                <w:rFonts w:ascii="Times New Roman" w:hAnsi="Times New Roman"/>
                <w:szCs w:val="20"/>
              </w:rPr>
            </w:pPr>
            <w:r w:rsidRPr="003E4DBD">
              <w:rPr>
                <w:rFonts w:ascii="Times New Roman" w:hAnsi="Times New Roman"/>
                <w:szCs w:val="20"/>
              </w:rPr>
              <w:t>After initial access (i.e., after RRC Setup, RRC Resume, or RRC Reestablishment), for BWP#0 configuration </w:t>
            </w:r>
            <w:r w:rsidRPr="003E4DBD">
              <w:rPr>
                <w:rFonts w:ascii="Times New Roman" w:hAnsi="Times New Roman"/>
                <w:szCs w:val="20"/>
                <w:u w:val="single"/>
              </w:rPr>
              <w:t>option 1</w:t>
            </w:r>
            <w:r w:rsidRPr="003E4DBD">
              <w:rPr>
                <w:rFonts w:ascii="Times New Roman" w:hAnsi="Times New Roman"/>
                <w:szCs w:val="20"/>
              </w:rPr>
              <w:t> (as in 38.331, Appendix B2), a RedCap UE is not expected to operate with an initial DL BWP wider than the maximum RedCap UE bandwidth.</w:t>
            </w:r>
          </w:p>
          <w:p w14:paraId="6D0A2180" w14:textId="77777777" w:rsidR="000A74D9" w:rsidRPr="003E4DBD" w:rsidRDefault="000A74D9" w:rsidP="001925A8">
            <w:pPr>
              <w:numPr>
                <w:ilvl w:val="0"/>
                <w:numId w:val="18"/>
              </w:numPr>
              <w:autoSpaceDN w:val="0"/>
              <w:spacing w:after="0" w:line="252" w:lineRule="auto"/>
              <w:contextualSpacing/>
              <w:rPr>
                <w:rFonts w:ascii="Times New Roman" w:hAnsi="Times New Roman"/>
                <w:szCs w:val="20"/>
              </w:rPr>
            </w:pPr>
            <w:r w:rsidRPr="003E4DBD">
              <w:rPr>
                <w:rFonts w:ascii="Times New Roman" w:hAnsi="Times New Roman"/>
                <w:szCs w:val="20"/>
              </w:rPr>
              <w:t>After initial access (i.e., after RRC Setup, RRC Resume, or RRC Reestablishment), for BWP#0 configuration </w:t>
            </w:r>
            <w:r w:rsidRPr="003E4DBD">
              <w:rPr>
                <w:rFonts w:ascii="Times New Roman" w:hAnsi="Times New Roman"/>
                <w:szCs w:val="20"/>
                <w:u w:val="single"/>
              </w:rPr>
              <w:t>option 2</w:t>
            </w:r>
            <w:r w:rsidRPr="003E4DBD">
              <w:rPr>
                <w:rFonts w:ascii="Times New Roman" w:hAnsi="Times New Roman"/>
                <w:szCs w:val="20"/>
              </w:rPr>
              <w:t> (as in 38.331, Appendix B2), a RedCap UE is not expected to operate with an initial DL BWP wider than the maximum RedCap UE bandwidth.</w:t>
            </w:r>
          </w:p>
          <w:p w14:paraId="38B4275B" w14:textId="77777777" w:rsidR="000A74D9" w:rsidRPr="003E4DBD" w:rsidRDefault="000A74D9" w:rsidP="008E4EAC">
            <w:pPr>
              <w:autoSpaceDN w:val="0"/>
              <w:spacing w:line="252" w:lineRule="auto"/>
              <w:contextualSpacing/>
              <w:rPr>
                <w:rFonts w:ascii="Times New Roman" w:hAnsi="Times New Roman"/>
                <w:szCs w:val="20"/>
              </w:rPr>
            </w:pPr>
            <w:r w:rsidRPr="003E4DBD">
              <w:rPr>
                <w:rFonts w:ascii="Times New Roman" w:hAnsi="Times New Roman"/>
                <w:b/>
                <w:bCs/>
                <w:szCs w:val="20"/>
              </w:rPr>
              <w:t> </w:t>
            </w:r>
          </w:p>
          <w:p w14:paraId="7256B1A3" w14:textId="77777777" w:rsidR="000A74D9" w:rsidRPr="003E4DBD" w:rsidRDefault="000A74D9" w:rsidP="008E4EAC">
            <w:pPr>
              <w:autoSpaceDN w:val="0"/>
              <w:spacing w:line="252" w:lineRule="auto"/>
              <w:contextualSpacing/>
              <w:rPr>
                <w:rFonts w:ascii="Times New Roman" w:hAnsi="Times New Roman"/>
                <w:szCs w:val="20"/>
              </w:rPr>
            </w:pPr>
            <w:r w:rsidRPr="008907FE">
              <w:rPr>
                <w:rFonts w:ascii="Times New Roman" w:hAnsi="Times New Roman"/>
                <w:szCs w:val="20"/>
                <w:highlight w:val="green"/>
              </w:rPr>
              <w:t>Agreements:</w:t>
            </w:r>
          </w:p>
          <w:p w14:paraId="02E9A36B" w14:textId="77777777" w:rsidR="000A74D9" w:rsidRPr="003E4DBD" w:rsidRDefault="000A74D9" w:rsidP="008E4EAC">
            <w:pPr>
              <w:autoSpaceDN w:val="0"/>
              <w:spacing w:line="252" w:lineRule="auto"/>
              <w:contextualSpacing/>
              <w:rPr>
                <w:rFonts w:ascii="Times New Roman" w:hAnsi="Times New Roman"/>
                <w:szCs w:val="20"/>
              </w:rPr>
            </w:pPr>
            <w:r w:rsidRPr="003E4DBD">
              <w:rPr>
                <w:rFonts w:ascii="Times New Roman" w:hAnsi="Times New Roman"/>
                <w:szCs w:val="20"/>
              </w:rPr>
              <w:t>Confirm the following working assumption from RAN1#105-e regarding RACH occasions.</w:t>
            </w:r>
          </w:p>
          <w:p w14:paraId="582EF43F" w14:textId="77777777" w:rsidR="000A74D9" w:rsidRPr="003E4DBD" w:rsidRDefault="000A74D9" w:rsidP="001925A8">
            <w:pPr>
              <w:numPr>
                <w:ilvl w:val="0"/>
                <w:numId w:val="19"/>
              </w:numPr>
              <w:autoSpaceDN w:val="0"/>
              <w:spacing w:after="0" w:line="252" w:lineRule="auto"/>
              <w:contextualSpacing/>
              <w:rPr>
                <w:rFonts w:ascii="Times New Roman" w:hAnsi="Times New Roman"/>
                <w:szCs w:val="20"/>
              </w:rPr>
            </w:pPr>
            <w:r w:rsidRPr="003E4DBD">
              <w:rPr>
                <w:rFonts w:ascii="Times New Roman" w:hAnsi="Times New Roman"/>
                <w:szCs w:val="20"/>
              </w:rPr>
              <w:t>For enabling/supporting that the RACH occasion (RO) associated with the best SSB falls within the RedCap UE bandwidth, support separate initial UL BWP for RedCap UEs (which is not expected to exceed the maximum RedCap UE bandwidth), and this separate initial UL BWP for RedCap includes ROs for RedCap UEs.</w:t>
            </w:r>
          </w:p>
          <w:p w14:paraId="1C5CED75" w14:textId="77777777" w:rsidR="000A74D9" w:rsidRPr="003E4DBD" w:rsidRDefault="000A74D9" w:rsidP="001925A8">
            <w:pPr>
              <w:numPr>
                <w:ilvl w:val="1"/>
                <w:numId w:val="19"/>
              </w:numPr>
              <w:autoSpaceDN w:val="0"/>
              <w:spacing w:after="0" w:line="252" w:lineRule="auto"/>
              <w:contextualSpacing/>
              <w:rPr>
                <w:rFonts w:ascii="Times New Roman" w:hAnsi="Times New Roman"/>
                <w:szCs w:val="20"/>
              </w:rPr>
            </w:pPr>
            <w:r w:rsidRPr="003E4DBD">
              <w:rPr>
                <w:rFonts w:ascii="Times New Roman" w:hAnsi="Times New Roman"/>
                <w:szCs w:val="20"/>
              </w:rPr>
              <w:t>Note: these ROs can be dedicated for RedCap UEs or shared with non-RedCap UEs.</w:t>
            </w:r>
          </w:p>
          <w:p w14:paraId="340E6072" w14:textId="77777777" w:rsidR="000A74D9" w:rsidRDefault="000A74D9" w:rsidP="008E4EAC">
            <w:pPr>
              <w:autoSpaceDN w:val="0"/>
              <w:spacing w:line="252" w:lineRule="auto"/>
              <w:contextualSpacing/>
              <w:rPr>
                <w:rFonts w:ascii="Times New Roman" w:hAnsi="Times New Roman"/>
                <w:b/>
                <w:bCs/>
                <w:szCs w:val="20"/>
              </w:rPr>
            </w:pPr>
            <w:r w:rsidRPr="003E4DBD">
              <w:rPr>
                <w:rFonts w:ascii="Times New Roman" w:hAnsi="Times New Roman"/>
                <w:b/>
                <w:bCs/>
                <w:szCs w:val="20"/>
              </w:rPr>
              <w:t> </w:t>
            </w:r>
          </w:p>
          <w:p w14:paraId="2696BF12" w14:textId="77777777" w:rsidR="000A74D9" w:rsidRPr="003E4DBD" w:rsidRDefault="000A74D9" w:rsidP="008E4EAC">
            <w:pPr>
              <w:autoSpaceDN w:val="0"/>
              <w:spacing w:line="252" w:lineRule="auto"/>
              <w:contextualSpacing/>
              <w:rPr>
                <w:rFonts w:ascii="Times New Roman" w:hAnsi="Times New Roman"/>
                <w:szCs w:val="20"/>
              </w:rPr>
            </w:pPr>
            <w:r w:rsidRPr="008907FE">
              <w:rPr>
                <w:rFonts w:ascii="Times New Roman" w:hAnsi="Times New Roman"/>
                <w:szCs w:val="20"/>
                <w:highlight w:val="green"/>
              </w:rPr>
              <w:lastRenderedPageBreak/>
              <w:t>Agreements:</w:t>
            </w:r>
          </w:p>
          <w:p w14:paraId="002CDE39" w14:textId="77777777" w:rsidR="000A74D9" w:rsidRPr="003E4DBD" w:rsidRDefault="000A74D9" w:rsidP="001925A8">
            <w:pPr>
              <w:numPr>
                <w:ilvl w:val="0"/>
                <w:numId w:val="20"/>
              </w:numPr>
              <w:autoSpaceDN w:val="0"/>
              <w:spacing w:after="0" w:line="252" w:lineRule="auto"/>
              <w:contextualSpacing/>
              <w:rPr>
                <w:rFonts w:ascii="Times New Roman" w:hAnsi="Times New Roman"/>
                <w:szCs w:val="20"/>
              </w:rPr>
            </w:pPr>
            <w:r w:rsidRPr="003E4DBD">
              <w:rPr>
                <w:rFonts w:ascii="Times New Roman" w:hAnsi="Times New Roman"/>
                <w:szCs w:val="20"/>
              </w:rPr>
              <w:t>In case a separate initial UL BWP is configured for RedCap UEs, it is supported that the network can enable/disable intra-slot PUCCH frequency hopping within the separate initial UL BWP in the PUCCH resource for HARQ feedback for Msg4/MsgB for RedCap UEs.</w:t>
            </w:r>
          </w:p>
          <w:p w14:paraId="5455EB86" w14:textId="77777777" w:rsidR="000A74D9" w:rsidRPr="003E4DBD" w:rsidRDefault="000A74D9" w:rsidP="001925A8">
            <w:pPr>
              <w:numPr>
                <w:ilvl w:val="1"/>
                <w:numId w:val="20"/>
              </w:numPr>
              <w:autoSpaceDN w:val="0"/>
              <w:spacing w:after="0" w:line="252" w:lineRule="auto"/>
              <w:contextualSpacing/>
              <w:rPr>
                <w:rFonts w:ascii="Times New Roman" w:hAnsi="Times New Roman"/>
                <w:szCs w:val="20"/>
              </w:rPr>
            </w:pPr>
            <w:r w:rsidRPr="003E4DBD">
              <w:rPr>
                <w:rFonts w:ascii="Times New Roman" w:hAnsi="Times New Roman"/>
                <w:szCs w:val="20"/>
              </w:rPr>
              <w:t>Working assumption: The frequency hopping is enabled/disabled at least via SIB.</w:t>
            </w:r>
          </w:p>
          <w:p w14:paraId="7F396412" w14:textId="77777777" w:rsidR="000A74D9" w:rsidRPr="003E4DBD" w:rsidRDefault="000A74D9" w:rsidP="008E4EAC">
            <w:pPr>
              <w:autoSpaceDN w:val="0"/>
              <w:spacing w:line="252" w:lineRule="auto"/>
              <w:contextualSpacing/>
              <w:rPr>
                <w:rFonts w:ascii="Times New Roman" w:hAnsi="Times New Roman"/>
                <w:szCs w:val="20"/>
              </w:rPr>
            </w:pPr>
            <w:r w:rsidRPr="003E4DBD">
              <w:rPr>
                <w:rFonts w:ascii="Times New Roman" w:hAnsi="Times New Roman"/>
                <w:b/>
                <w:bCs/>
                <w:szCs w:val="20"/>
              </w:rPr>
              <w:t> </w:t>
            </w:r>
          </w:p>
        </w:tc>
      </w:tr>
    </w:tbl>
    <w:p w14:paraId="152997F2" w14:textId="77B6DB4E" w:rsidR="005A71BC" w:rsidRDefault="005A71BC" w:rsidP="00A11EC1">
      <w:pPr>
        <w:jc w:val="both"/>
        <w:rPr>
          <w:lang w:eastAsia="ja-JP"/>
        </w:rPr>
      </w:pPr>
    </w:p>
    <w:p w14:paraId="3D083F9D" w14:textId="1BA448BA" w:rsidR="005A71BC" w:rsidRDefault="007B3112" w:rsidP="00A11EC1">
      <w:pPr>
        <w:jc w:val="both"/>
        <w:rPr>
          <w:lang w:eastAsia="ja-JP"/>
        </w:rPr>
      </w:pPr>
      <w:r>
        <w:rPr>
          <w:lang w:eastAsia="ja-JP"/>
        </w:rPr>
        <w:t xml:space="preserve">Moreover, the agreements from </w:t>
      </w:r>
      <w:r>
        <w:t>RAN1#106bis-e are as follows:</w:t>
      </w:r>
    </w:p>
    <w:tbl>
      <w:tblPr>
        <w:tblW w:w="9889" w:type="dxa"/>
        <w:tblCellMar>
          <w:left w:w="0" w:type="dxa"/>
          <w:right w:w="0" w:type="dxa"/>
        </w:tblCellMar>
        <w:tblLook w:val="04A0" w:firstRow="1" w:lastRow="0" w:firstColumn="1" w:lastColumn="0" w:noHBand="0" w:noVBand="1"/>
      </w:tblPr>
      <w:tblGrid>
        <w:gridCol w:w="9889"/>
      </w:tblGrid>
      <w:tr w:rsidR="00486572" w:rsidRPr="007E141B" w14:paraId="6B59636B" w14:textId="77777777" w:rsidTr="004204CE">
        <w:tc>
          <w:tcPr>
            <w:tcW w:w="988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F2C348" w14:textId="77777777" w:rsidR="00486572" w:rsidRPr="007E141B" w:rsidRDefault="00486572" w:rsidP="004E4A74">
            <w:pPr>
              <w:autoSpaceDN w:val="0"/>
              <w:spacing w:line="252" w:lineRule="auto"/>
              <w:contextualSpacing/>
              <w:rPr>
                <w:rFonts w:asciiTheme="majorBidi" w:hAnsiTheme="majorBidi" w:cstheme="majorBidi"/>
                <w:highlight w:val="green"/>
              </w:rPr>
            </w:pPr>
            <w:r w:rsidRPr="007E141B">
              <w:rPr>
                <w:rFonts w:asciiTheme="majorBidi" w:hAnsiTheme="majorBidi" w:cstheme="majorBidi"/>
                <w:highlight w:val="green"/>
              </w:rPr>
              <w:t xml:space="preserve">Agreement: </w:t>
            </w:r>
          </w:p>
          <w:p w14:paraId="113A6FFC" w14:textId="77777777" w:rsidR="00486572" w:rsidRPr="007E141B" w:rsidRDefault="00486572" w:rsidP="004204CE">
            <w:pPr>
              <w:jc w:val="both"/>
              <w:rPr>
                <w:rFonts w:asciiTheme="majorBidi" w:hAnsiTheme="majorBidi" w:cstheme="majorBidi"/>
              </w:rPr>
            </w:pPr>
            <w:r w:rsidRPr="007E141B">
              <w:rPr>
                <w:rFonts w:asciiTheme="majorBidi" w:hAnsiTheme="majorBidi" w:cstheme="majorBidi"/>
              </w:rPr>
              <w:t>Confirm the working assumption:</w:t>
            </w:r>
          </w:p>
          <w:p w14:paraId="09E6CD53" w14:textId="77777777" w:rsidR="00486572" w:rsidRPr="007E141B" w:rsidRDefault="00486572" w:rsidP="00486572">
            <w:pPr>
              <w:numPr>
                <w:ilvl w:val="0"/>
                <w:numId w:val="15"/>
              </w:numPr>
              <w:autoSpaceDN w:val="0"/>
              <w:spacing w:after="0" w:line="252" w:lineRule="auto"/>
              <w:contextualSpacing/>
              <w:rPr>
                <w:rFonts w:asciiTheme="majorBidi" w:hAnsiTheme="majorBidi" w:cstheme="majorBidi"/>
              </w:rPr>
            </w:pPr>
            <w:r w:rsidRPr="007E141B">
              <w:rPr>
                <w:rFonts w:asciiTheme="majorBidi" w:hAnsiTheme="majorBidi" w:cstheme="majorBidi"/>
              </w:rPr>
              <w:t>In case a separate initial UL BWP is configured for RedCap UEs, it is supported that the network can enable/disable intra-slot PUCCH frequency hopping within the separate initial UL BWP in the PUCCH resource for HARQ feedback for Msg4/MsgB for RedCap UEs.</w:t>
            </w:r>
          </w:p>
          <w:p w14:paraId="765F9428" w14:textId="3769CD32" w:rsidR="00486572" w:rsidRDefault="00486572" w:rsidP="00486572">
            <w:pPr>
              <w:numPr>
                <w:ilvl w:val="1"/>
                <w:numId w:val="15"/>
              </w:numPr>
              <w:autoSpaceDN w:val="0"/>
              <w:spacing w:after="0" w:line="252" w:lineRule="auto"/>
              <w:contextualSpacing/>
              <w:rPr>
                <w:rFonts w:asciiTheme="majorBidi" w:hAnsiTheme="majorBidi" w:cstheme="majorBidi"/>
              </w:rPr>
            </w:pPr>
            <w:r w:rsidRPr="007E141B">
              <w:rPr>
                <w:rFonts w:asciiTheme="majorBidi" w:hAnsiTheme="majorBidi" w:cstheme="majorBidi"/>
              </w:rPr>
              <w:t>The frequency hopping is enabled/disabled at least via SIB.</w:t>
            </w:r>
          </w:p>
          <w:p w14:paraId="70F1CE14" w14:textId="077BCA15" w:rsidR="004E4A74" w:rsidRDefault="004E4A74" w:rsidP="004E4A74">
            <w:pPr>
              <w:autoSpaceDN w:val="0"/>
              <w:spacing w:after="0" w:line="252" w:lineRule="auto"/>
              <w:contextualSpacing/>
              <w:rPr>
                <w:rFonts w:asciiTheme="majorBidi" w:hAnsiTheme="majorBidi" w:cstheme="majorBidi"/>
              </w:rPr>
            </w:pPr>
          </w:p>
          <w:p w14:paraId="3193A6B7" w14:textId="77777777" w:rsidR="00486572" w:rsidRPr="007E141B" w:rsidRDefault="00486572" w:rsidP="004E4A74">
            <w:pPr>
              <w:autoSpaceDN w:val="0"/>
              <w:spacing w:line="252" w:lineRule="auto"/>
              <w:contextualSpacing/>
              <w:rPr>
                <w:rFonts w:asciiTheme="majorBidi" w:hAnsiTheme="majorBidi" w:cstheme="majorBidi"/>
                <w:highlight w:val="green"/>
              </w:rPr>
            </w:pPr>
            <w:r w:rsidRPr="007E141B">
              <w:rPr>
                <w:rFonts w:asciiTheme="majorBidi" w:hAnsiTheme="majorBidi" w:cstheme="majorBidi"/>
                <w:highlight w:val="green"/>
              </w:rPr>
              <w:t>Agreement:</w:t>
            </w:r>
          </w:p>
          <w:p w14:paraId="086F8BB5" w14:textId="77777777" w:rsidR="00486572" w:rsidRPr="007E141B" w:rsidRDefault="00486572" w:rsidP="00486572">
            <w:pPr>
              <w:numPr>
                <w:ilvl w:val="0"/>
                <w:numId w:val="15"/>
              </w:numPr>
              <w:autoSpaceDN w:val="0"/>
              <w:spacing w:after="0" w:line="252" w:lineRule="auto"/>
              <w:contextualSpacing/>
              <w:rPr>
                <w:rFonts w:asciiTheme="majorBidi" w:hAnsiTheme="majorBidi" w:cstheme="majorBidi"/>
                <w:szCs w:val="20"/>
              </w:rPr>
            </w:pPr>
            <w:r w:rsidRPr="007E141B">
              <w:rPr>
                <w:rFonts w:asciiTheme="majorBidi" w:hAnsiTheme="majorBidi" w:cstheme="majorBidi"/>
                <w:szCs w:val="20"/>
              </w:rPr>
              <w:t>For a cell that allows a RedCap UE to access, network can configure a separate initial UL BWP for RedCap UEs in SIB</w:t>
            </w:r>
          </w:p>
          <w:p w14:paraId="3A4F4E56" w14:textId="77777777" w:rsidR="00486572" w:rsidRPr="007E141B" w:rsidRDefault="00486572" w:rsidP="00486572">
            <w:pPr>
              <w:numPr>
                <w:ilvl w:val="1"/>
                <w:numId w:val="15"/>
              </w:numPr>
              <w:autoSpaceDN w:val="0"/>
              <w:spacing w:after="0" w:line="252" w:lineRule="auto"/>
              <w:contextualSpacing/>
              <w:rPr>
                <w:rFonts w:asciiTheme="majorBidi" w:hAnsiTheme="majorBidi" w:cstheme="majorBidi"/>
              </w:rPr>
            </w:pPr>
            <w:r w:rsidRPr="007E141B">
              <w:rPr>
                <w:rFonts w:asciiTheme="majorBidi" w:hAnsiTheme="majorBidi" w:cstheme="majorBidi"/>
              </w:rPr>
              <w:t>It can be used both during and after initial access.</w:t>
            </w:r>
          </w:p>
          <w:p w14:paraId="0F7CF9D5" w14:textId="77777777" w:rsidR="00486572" w:rsidRPr="007E141B" w:rsidRDefault="00486572" w:rsidP="00486572">
            <w:pPr>
              <w:numPr>
                <w:ilvl w:val="1"/>
                <w:numId w:val="15"/>
              </w:numPr>
              <w:autoSpaceDN w:val="0"/>
              <w:spacing w:after="0" w:line="252" w:lineRule="auto"/>
              <w:contextualSpacing/>
              <w:rPr>
                <w:rFonts w:asciiTheme="majorBidi" w:hAnsiTheme="majorBidi" w:cstheme="majorBidi"/>
              </w:rPr>
            </w:pPr>
            <w:r w:rsidRPr="007E141B">
              <w:rPr>
                <w:rFonts w:asciiTheme="majorBidi" w:hAnsiTheme="majorBidi" w:cstheme="majorBidi"/>
              </w:rPr>
              <w:t>It is no wider than the maximum RedCap UE bandwidth.</w:t>
            </w:r>
          </w:p>
          <w:p w14:paraId="488929E2" w14:textId="77777777" w:rsidR="00486572" w:rsidRPr="007E141B" w:rsidRDefault="00486572" w:rsidP="00486572">
            <w:pPr>
              <w:numPr>
                <w:ilvl w:val="1"/>
                <w:numId w:val="15"/>
              </w:numPr>
              <w:autoSpaceDN w:val="0"/>
              <w:spacing w:after="0" w:line="252" w:lineRule="auto"/>
              <w:contextualSpacing/>
              <w:rPr>
                <w:rFonts w:asciiTheme="majorBidi" w:hAnsiTheme="majorBidi" w:cstheme="majorBidi"/>
              </w:rPr>
            </w:pPr>
            <w:r w:rsidRPr="007E141B">
              <w:rPr>
                <w:rFonts w:asciiTheme="majorBidi" w:hAnsiTheme="majorBidi" w:cstheme="majorBidi"/>
              </w:rPr>
              <w:t>It is always configured if the initial UL BWP for non-RedCap UEs is wider than the maximum RedCap UE bandwidth</w:t>
            </w:r>
          </w:p>
          <w:p w14:paraId="5118A435" w14:textId="77777777" w:rsidR="00486572" w:rsidRPr="007E141B" w:rsidRDefault="00486572" w:rsidP="00486572">
            <w:pPr>
              <w:numPr>
                <w:ilvl w:val="1"/>
                <w:numId w:val="15"/>
              </w:numPr>
              <w:autoSpaceDN w:val="0"/>
              <w:spacing w:after="0" w:line="252" w:lineRule="auto"/>
              <w:contextualSpacing/>
              <w:rPr>
                <w:rFonts w:asciiTheme="majorBidi" w:hAnsiTheme="majorBidi" w:cstheme="majorBidi"/>
              </w:rPr>
            </w:pPr>
            <w:r w:rsidRPr="007E141B">
              <w:rPr>
                <w:rFonts w:asciiTheme="majorBidi" w:hAnsiTheme="majorBidi" w:cstheme="majorBidi"/>
              </w:rPr>
              <w:t>This applies to both TDD and FDD (including FD FDD and HD FDD) cases</w:t>
            </w:r>
          </w:p>
          <w:p w14:paraId="39606EAE" w14:textId="77777777" w:rsidR="00486572" w:rsidRPr="007E141B" w:rsidRDefault="00486572" w:rsidP="004204CE">
            <w:pPr>
              <w:autoSpaceDN w:val="0"/>
              <w:spacing w:line="252" w:lineRule="auto"/>
              <w:contextualSpacing/>
              <w:rPr>
                <w:rFonts w:asciiTheme="majorBidi" w:hAnsiTheme="majorBidi" w:cstheme="majorBidi"/>
              </w:rPr>
            </w:pPr>
          </w:p>
          <w:p w14:paraId="4382D27E" w14:textId="77777777" w:rsidR="00486572" w:rsidRPr="007E141B" w:rsidRDefault="00486572" w:rsidP="004E4A74">
            <w:pPr>
              <w:autoSpaceDN w:val="0"/>
              <w:spacing w:line="252" w:lineRule="auto"/>
              <w:contextualSpacing/>
              <w:rPr>
                <w:rFonts w:asciiTheme="majorBidi" w:hAnsiTheme="majorBidi" w:cstheme="majorBidi"/>
                <w:highlight w:val="darkYellow"/>
              </w:rPr>
            </w:pPr>
            <w:r w:rsidRPr="007E141B">
              <w:rPr>
                <w:rFonts w:asciiTheme="majorBidi" w:hAnsiTheme="majorBidi" w:cstheme="majorBidi"/>
                <w:highlight w:val="darkYellow"/>
              </w:rPr>
              <w:t>Working Assumption:</w:t>
            </w:r>
          </w:p>
          <w:p w14:paraId="0CD1F7FB" w14:textId="77777777" w:rsidR="00486572" w:rsidRPr="007E141B" w:rsidRDefault="00486572" w:rsidP="00486572">
            <w:pPr>
              <w:numPr>
                <w:ilvl w:val="0"/>
                <w:numId w:val="15"/>
              </w:numPr>
              <w:autoSpaceDN w:val="0"/>
              <w:spacing w:after="0" w:line="252" w:lineRule="auto"/>
              <w:contextualSpacing/>
              <w:rPr>
                <w:rFonts w:asciiTheme="majorBidi" w:hAnsiTheme="majorBidi" w:cstheme="majorBidi"/>
                <w:szCs w:val="20"/>
              </w:rPr>
            </w:pPr>
            <w:r w:rsidRPr="007E141B">
              <w:rPr>
                <w:rFonts w:asciiTheme="majorBidi" w:hAnsiTheme="majorBidi" w:cstheme="majorBidi"/>
                <w:szCs w:val="20"/>
              </w:rPr>
              <w:t>For a cell that allows a RedCap UE to access, network can configure a separate initial DL BWP for RedCap UEs in SIB.</w:t>
            </w:r>
          </w:p>
          <w:p w14:paraId="6E23013E" w14:textId="77777777" w:rsidR="00486572" w:rsidRPr="007E141B" w:rsidRDefault="00486572" w:rsidP="00486572">
            <w:pPr>
              <w:numPr>
                <w:ilvl w:val="1"/>
                <w:numId w:val="15"/>
              </w:numPr>
              <w:autoSpaceDN w:val="0"/>
              <w:spacing w:after="0" w:line="252" w:lineRule="auto"/>
              <w:contextualSpacing/>
              <w:rPr>
                <w:rFonts w:asciiTheme="majorBidi" w:hAnsiTheme="majorBidi" w:cstheme="majorBidi"/>
                <w:szCs w:val="20"/>
              </w:rPr>
            </w:pPr>
            <w:r w:rsidRPr="007E141B">
              <w:rPr>
                <w:rFonts w:asciiTheme="majorBidi" w:hAnsiTheme="majorBidi" w:cstheme="majorBidi"/>
                <w:szCs w:val="20"/>
                <w:highlight w:val="darkYellow"/>
              </w:rPr>
              <w:t>Working assumption:</w:t>
            </w:r>
            <w:r w:rsidRPr="007E141B">
              <w:rPr>
                <w:rFonts w:asciiTheme="majorBidi" w:hAnsiTheme="majorBidi" w:cstheme="majorBidi"/>
                <w:szCs w:val="20"/>
              </w:rPr>
              <w:t xml:space="preserve"> It can be used during initial access</w:t>
            </w:r>
          </w:p>
          <w:p w14:paraId="4FF3960B" w14:textId="77777777" w:rsidR="00486572" w:rsidRPr="007E141B" w:rsidRDefault="00486572" w:rsidP="00486572">
            <w:pPr>
              <w:numPr>
                <w:ilvl w:val="1"/>
                <w:numId w:val="15"/>
              </w:numPr>
              <w:autoSpaceDN w:val="0"/>
              <w:spacing w:after="0" w:line="252" w:lineRule="auto"/>
              <w:contextualSpacing/>
              <w:rPr>
                <w:rFonts w:asciiTheme="majorBidi" w:hAnsiTheme="majorBidi" w:cstheme="majorBidi"/>
                <w:szCs w:val="20"/>
              </w:rPr>
            </w:pPr>
            <w:r w:rsidRPr="007E141B">
              <w:rPr>
                <w:rFonts w:asciiTheme="majorBidi" w:hAnsiTheme="majorBidi" w:cstheme="majorBidi"/>
                <w:szCs w:val="20"/>
              </w:rPr>
              <w:t>It can be used after initial access.</w:t>
            </w:r>
          </w:p>
          <w:p w14:paraId="4ECFFAD6" w14:textId="77777777" w:rsidR="00486572" w:rsidRPr="007E141B" w:rsidRDefault="00486572" w:rsidP="00486572">
            <w:pPr>
              <w:numPr>
                <w:ilvl w:val="1"/>
                <w:numId w:val="15"/>
              </w:numPr>
              <w:autoSpaceDN w:val="0"/>
              <w:spacing w:after="0" w:line="252" w:lineRule="auto"/>
              <w:contextualSpacing/>
              <w:rPr>
                <w:rFonts w:asciiTheme="majorBidi" w:hAnsiTheme="majorBidi" w:cstheme="majorBidi"/>
                <w:szCs w:val="20"/>
              </w:rPr>
            </w:pPr>
            <w:r w:rsidRPr="007E141B">
              <w:rPr>
                <w:rFonts w:asciiTheme="majorBidi" w:hAnsiTheme="majorBidi" w:cstheme="majorBidi"/>
                <w:szCs w:val="20"/>
              </w:rPr>
              <w:t>It is no wider than the maximum RedCap UE bandwidth.</w:t>
            </w:r>
          </w:p>
          <w:p w14:paraId="1BD6D197" w14:textId="77777777" w:rsidR="00486572" w:rsidRPr="007E141B" w:rsidRDefault="00486572" w:rsidP="00486572">
            <w:pPr>
              <w:numPr>
                <w:ilvl w:val="1"/>
                <w:numId w:val="15"/>
              </w:numPr>
              <w:autoSpaceDN w:val="0"/>
              <w:spacing w:after="0" w:line="252" w:lineRule="auto"/>
              <w:contextualSpacing/>
              <w:rPr>
                <w:rFonts w:asciiTheme="majorBidi" w:hAnsiTheme="majorBidi" w:cstheme="majorBidi"/>
                <w:szCs w:val="20"/>
              </w:rPr>
            </w:pPr>
            <w:r w:rsidRPr="007E141B">
              <w:rPr>
                <w:rFonts w:asciiTheme="majorBidi" w:hAnsiTheme="majorBidi" w:cstheme="majorBidi"/>
                <w:szCs w:val="20"/>
              </w:rPr>
              <w:t>FFS: It is always configured if the initial DL BWP for non-RedCap UEs is wider than the maximum RedCap UE bandwidth.</w:t>
            </w:r>
          </w:p>
          <w:p w14:paraId="1B334C46" w14:textId="77777777" w:rsidR="00486572" w:rsidRPr="007E141B" w:rsidRDefault="00486572" w:rsidP="00486572">
            <w:pPr>
              <w:numPr>
                <w:ilvl w:val="1"/>
                <w:numId w:val="15"/>
              </w:numPr>
              <w:autoSpaceDN w:val="0"/>
              <w:spacing w:after="0" w:line="252" w:lineRule="auto"/>
              <w:contextualSpacing/>
              <w:rPr>
                <w:rFonts w:asciiTheme="majorBidi" w:hAnsiTheme="majorBidi" w:cstheme="majorBidi"/>
                <w:szCs w:val="20"/>
              </w:rPr>
            </w:pPr>
            <w:r w:rsidRPr="007E141B">
              <w:rPr>
                <w:rFonts w:asciiTheme="majorBidi" w:hAnsiTheme="majorBidi" w:cstheme="majorBidi"/>
                <w:szCs w:val="20"/>
              </w:rPr>
              <w:t>This applies to both TDD and FDD (including FD FDD and HD FDD) cases.</w:t>
            </w:r>
          </w:p>
          <w:p w14:paraId="1A01D8AC" w14:textId="5976045E" w:rsidR="00486572" w:rsidRPr="004E4A74" w:rsidRDefault="00486572" w:rsidP="00486572">
            <w:pPr>
              <w:numPr>
                <w:ilvl w:val="1"/>
                <w:numId w:val="15"/>
              </w:numPr>
              <w:autoSpaceDN w:val="0"/>
              <w:spacing w:after="0" w:line="252" w:lineRule="auto"/>
              <w:contextualSpacing/>
              <w:rPr>
                <w:rFonts w:asciiTheme="majorBidi" w:hAnsiTheme="majorBidi" w:cstheme="majorBidi"/>
                <w:szCs w:val="20"/>
              </w:rPr>
            </w:pPr>
            <w:r w:rsidRPr="007E141B">
              <w:rPr>
                <w:rFonts w:asciiTheme="majorBidi" w:hAnsiTheme="majorBidi" w:cstheme="majorBidi"/>
                <w:szCs w:val="20"/>
                <w:highlight w:val="darkYellow"/>
              </w:rPr>
              <w:t>Working assumption:</w:t>
            </w:r>
            <w:r w:rsidRPr="007E141B">
              <w:rPr>
                <w:rFonts w:asciiTheme="majorBidi" w:hAnsiTheme="majorBidi" w:cstheme="majorBidi"/>
                <w:szCs w:val="20"/>
              </w:rPr>
              <w:t xml:space="preserve"> </w:t>
            </w:r>
            <w:r w:rsidRPr="007E141B">
              <w:rPr>
                <w:rFonts w:asciiTheme="majorBidi" w:eastAsia="DengXian" w:hAnsiTheme="majorBidi" w:cstheme="majorBidi"/>
                <w:szCs w:val="20"/>
                <w:lang w:eastAsia="zh-CN"/>
              </w:rPr>
              <w:t>It applies at least after initial access for FR1 when MIB configured CORESET#0 is included</w:t>
            </w:r>
          </w:p>
          <w:p w14:paraId="1F928196" w14:textId="52821F7F" w:rsidR="004E4A74" w:rsidRDefault="004E4A74" w:rsidP="004E4A74">
            <w:pPr>
              <w:autoSpaceDN w:val="0"/>
              <w:spacing w:after="0" w:line="252" w:lineRule="auto"/>
              <w:contextualSpacing/>
              <w:rPr>
                <w:rFonts w:asciiTheme="majorBidi" w:eastAsia="DengXian" w:hAnsiTheme="majorBidi" w:cstheme="majorBidi"/>
                <w:szCs w:val="20"/>
                <w:lang w:eastAsia="zh-CN"/>
              </w:rPr>
            </w:pPr>
          </w:p>
          <w:p w14:paraId="1FCCA7DE" w14:textId="77777777" w:rsidR="00486572" w:rsidRPr="007E141B" w:rsidRDefault="00486572" w:rsidP="004E4A74">
            <w:pPr>
              <w:autoSpaceDN w:val="0"/>
              <w:spacing w:line="252" w:lineRule="auto"/>
              <w:contextualSpacing/>
              <w:rPr>
                <w:rFonts w:asciiTheme="majorBidi" w:eastAsia="DengXian" w:hAnsiTheme="majorBidi" w:cstheme="majorBidi"/>
                <w:highlight w:val="green"/>
                <w:lang w:eastAsia="zh-CN"/>
              </w:rPr>
            </w:pPr>
            <w:r w:rsidRPr="007E141B">
              <w:rPr>
                <w:rFonts w:asciiTheme="majorBidi" w:eastAsia="DengXian" w:hAnsiTheme="majorBidi" w:cstheme="majorBidi"/>
                <w:highlight w:val="green"/>
                <w:lang w:eastAsia="zh-CN"/>
              </w:rPr>
              <w:t>Agreement:</w:t>
            </w:r>
          </w:p>
          <w:p w14:paraId="0950ABF8" w14:textId="77777777" w:rsidR="00486572" w:rsidRPr="007E141B" w:rsidRDefault="00486572" w:rsidP="00486572">
            <w:pPr>
              <w:numPr>
                <w:ilvl w:val="0"/>
                <w:numId w:val="15"/>
              </w:numPr>
              <w:autoSpaceDN w:val="0"/>
              <w:spacing w:after="0" w:line="252" w:lineRule="auto"/>
              <w:contextualSpacing/>
              <w:rPr>
                <w:rFonts w:asciiTheme="majorBidi" w:hAnsiTheme="majorBidi" w:cstheme="majorBidi"/>
                <w:szCs w:val="20"/>
              </w:rPr>
            </w:pPr>
            <w:r w:rsidRPr="007E141B">
              <w:rPr>
                <w:rFonts w:asciiTheme="majorBidi" w:hAnsiTheme="majorBidi" w:cstheme="majorBidi"/>
                <w:szCs w:val="20"/>
              </w:rPr>
              <w:t>Send an LS to RAN2 and RAN4 to ask about using NCD-SSB instead of CD-SSB for idle/inactive/connected mode procedures for serving and non-serving cells for a Rel-17 RedCap UE operating with an initial or non-initial DL BWP not containing CD-SSB.</w:t>
            </w:r>
          </w:p>
          <w:p w14:paraId="76E20509" w14:textId="77777777" w:rsidR="00486572" w:rsidRPr="007E141B" w:rsidRDefault="00486572" w:rsidP="00486572">
            <w:pPr>
              <w:numPr>
                <w:ilvl w:val="1"/>
                <w:numId w:val="15"/>
              </w:numPr>
              <w:autoSpaceDN w:val="0"/>
              <w:spacing w:after="0" w:line="252" w:lineRule="auto"/>
              <w:contextualSpacing/>
              <w:rPr>
                <w:rFonts w:asciiTheme="majorBidi" w:hAnsiTheme="majorBidi" w:cstheme="majorBidi"/>
                <w:szCs w:val="20"/>
              </w:rPr>
            </w:pPr>
            <w:r w:rsidRPr="007E141B">
              <w:rPr>
                <w:rFonts w:asciiTheme="majorBidi" w:hAnsiTheme="majorBidi" w:cstheme="majorBidi"/>
                <w:szCs w:val="20"/>
              </w:rPr>
              <w:t>Draft the LS until Tuesday 19th October.</w:t>
            </w:r>
          </w:p>
          <w:p w14:paraId="57E81019" w14:textId="77777777" w:rsidR="00486572" w:rsidRPr="007E141B" w:rsidRDefault="00486572" w:rsidP="00486572">
            <w:pPr>
              <w:numPr>
                <w:ilvl w:val="1"/>
                <w:numId w:val="15"/>
              </w:numPr>
              <w:autoSpaceDN w:val="0"/>
              <w:spacing w:after="0" w:line="252" w:lineRule="auto"/>
              <w:contextualSpacing/>
              <w:rPr>
                <w:rFonts w:asciiTheme="majorBidi" w:hAnsiTheme="majorBidi" w:cstheme="majorBidi"/>
                <w:szCs w:val="20"/>
              </w:rPr>
            </w:pPr>
            <w:r w:rsidRPr="007E141B">
              <w:rPr>
                <w:rFonts w:asciiTheme="majorBidi" w:hAnsiTheme="majorBidi" w:cstheme="majorBidi"/>
                <w:szCs w:val="20"/>
              </w:rPr>
              <w:t>Indicate in the LS that a response is needed before RAN1#107-e.</w:t>
            </w:r>
          </w:p>
          <w:p w14:paraId="7CBE6339" w14:textId="727D44C9" w:rsidR="00486572" w:rsidRDefault="00486572" w:rsidP="00486572">
            <w:pPr>
              <w:numPr>
                <w:ilvl w:val="1"/>
                <w:numId w:val="15"/>
              </w:numPr>
              <w:autoSpaceDN w:val="0"/>
              <w:spacing w:after="0" w:line="252" w:lineRule="auto"/>
              <w:contextualSpacing/>
              <w:rPr>
                <w:rFonts w:asciiTheme="majorBidi" w:hAnsiTheme="majorBidi" w:cstheme="majorBidi"/>
                <w:szCs w:val="20"/>
              </w:rPr>
            </w:pPr>
            <w:r w:rsidRPr="007E141B">
              <w:rPr>
                <w:rFonts w:asciiTheme="majorBidi" w:hAnsiTheme="majorBidi" w:cstheme="majorBidi"/>
                <w:szCs w:val="20"/>
              </w:rPr>
              <w:t>Indicate in the LS both option 1 and option 2</w:t>
            </w:r>
          </w:p>
          <w:p w14:paraId="4AC4C7AF" w14:textId="7A2D575E" w:rsidR="004E4A74" w:rsidRDefault="004E4A74" w:rsidP="004E4A74">
            <w:pPr>
              <w:autoSpaceDN w:val="0"/>
              <w:spacing w:after="0" w:line="252" w:lineRule="auto"/>
              <w:contextualSpacing/>
              <w:rPr>
                <w:rFonts w:asciiTheme="majorBidi" w:hAnsiTheme="majorBidi" w:cstheme="majorBidi"/>
                <w:szCs w:val="20"/>
              </w:rPr>
            </w:pPr>
          </w:p>
          <w:p w14:paraId="01F7BAA2" w14:textId="77777777" w:rsidR="00486572" w:rsidRPr="007E141B" w:rsidRDefault="00486572" w:rsidP="004E4A74">
            <w:pPr>
              <w:autoSpaceDN w:val="0"/>
              <w:spacing w:line="252" w:lineRule="auto"/>
              <w:contextualSpacing/>
              <w:rPr>
                <w:rFonts w:asciiTheme="majorBidi" w:eastAsia="Microsoft YaHei UI" w:hAnsiTheme="majorBidi" w:cstheme="majorBidi"/>
                <w:color w:val="000000"/>
                <w:sz w:val="21"/>
                <w:szCs w:val="21"/>
                <w:lang w:eastAsia="zh-CN"/>
              </w:rPr>
            </w:pPr>
            <w:r w:rsidRPr="007E141B">
              <w:rPr>
                <w:rFonts w:asciiTheme="majorBidi" w:eastAsia="Microsoft YaHei UI" w:hAnsiTheme="majorBidi" w:cstheme="majorBidi"/>
                <w:color w:val="000000"/>
                <w:szCs w:val="20"/>
                <w:shd w:val="clear" w:color="auto" w:fill="00FF00"/>
                <w:lang w:eastAsia="zh-CN"/>
              </w:rPr>
              <w:t>Agreement:</w:t>
            </w:r>
          </w:p>
          <w:p w14:paraId="17BF988B" w14:textId="77777777" w:rsidR="00486572" w:rsidRPr="007E141B" w:rsidRDefault="00486572" w:rsidP="001925A8">
            <w:pPr>
              <w:numPr>
                <w:ilvl w:val="0"/>
                <w:numId w:val="23"/>
              </w:numPr>
              <w:shd w:val="clear" w:color="auto" w:fill="FFFFFF"/>
              <w:spacing w:after="0" w:line="231" w:lineRule="atLeast"/>
              <w:rPr>
                <w:rFonts w:asciiTheme="majorBidi" w:eastAsia="Microsoft YaHei UI" w:hAnsiTheme="majorBidi" w:cstheme="majorBidi"/>
                <w:color w:val="000000"/>
                <w:sz w:val="22"/>
                <w:lang w:eastAsia="zh-CN"/>
              </w:rPr>
            </w:pPr>
            <w:r w:rsidRPr="007E141B">
              <w:rPr>
                <w:rFonts w:asciiTheme="majorBidi" w:eastAsia="Microsoft YaHei UI" w:hAnsiTheme="majorBidi" w:cstheme="majorBidi"/>
                <w:color w:val="000000"/>
                <w:szCs w:val="20"/>
                <w:lang w:eastAsia="zh-CN"/>
              </w:rPr>
              <w:t>FFS: What specification changes (if any) are needed to support that the network can enable/disable intra-slot PUCCH frequency hopping (FH) within the separate initial UL BWP in the PUCCH resource for HARQ feedback for Msg4/MsgB for RedCap</w:t>
            </w:r>
          </w:p>
          <w:p w14:paraId="2C4BCF1C" w14:textId="2ACE96CB" w:rsidR="00486572" w:rsidRPr="004E4A74" w:rsidRDefault="00486572" w:rsidP="001925A8">
            <w:pPr>
              <w:numPr>
                <w:ilvl w:val="0"/>
                <w:numId w:val="23"/>
              </w:numPr>
              <w:shd w:val="clear" w:color="auto" w:fill="FFFFFF"/>
              <w:spacing w:after="0" w:line="231" w:lineRule="atLeast"/>
              <w:rPr>
                <w:rFonts w:asciiTheme="majorBidi" w:eastAsia="Microsoft YaHei UI" w:hAnsiTheme="majorBidi" w:cstheme="majorBidi"/>
                <w:color w:val="000000"/>
                <w:sz w:val="22"/>
                <w:lang w:eastAsia="zh-CN"/>
              </w:rPr>
            </w:pPr>
            <w:r w:rsidRPr="007E141B">
              <w:rPr>
                <w:rFonts w:asciiTheme="majorBidi" w:eastAsia="Microsoft YaHei UI" w:hAnsiTheme="majorBidi" w:cstheme="majorBidi"/>
                <w:color w:val="000000"/>
                <w:szCs w:val="20"/>
                <w:lang w:eastAsia="zh-CN"/>
              </w:rPr>
              <w:t>FFS: Whether any specification changes are needed and desired in order to support multiplexing of non-FH and FH PUCCH transmissions in PUCCH resources.</w:t>
            </w:r>
          </w:p>
          <w:p w14:paraId="527BC1A3" w14:textId="77777777" w:rsidR="004E4A74" w:rsidRPr="007E141B" w:rsidRDefault="004E4A74" w:rsidP="004E4A74">
            <w:pPr>
              <w:shd w:val="clear" w:color="auto" w:fill="FFFFFF"/>
              <w:spacing w:after="0" w:line="231" w:lineRule="atLeast"/>
              <w:rPr>
                <w:rFonts w:asciiTheme="majorBidi" w:eastAsia="Microsoft YaHei UI" w:hAnsiTheme="majorBidi" w:cstheme="majorBidi"/>
                <w:color w:val="000000"/>
                <w:sz w:val="22"/>
                <w:lang w:eastAsia="zh-CN"/>
              </w:rPr>
            </w:pPr>
          </w:p>
          <w:p w14:paraId="28D22297" w14:textId="77777777" w:rsidR="00486572" w:rsidRPr="007E141B" w:rsidRDefault="00486572" w:rsidP="004E4A74">
            <w:pPr>
              <w:autoSpaceDN w:val="0"/>
              <w:spacing w:line="252" w:lineRule="auto"/>
              <w:contextualSpacing/>
              <w:rPr>
                <w:rFonts w:asciiTheme="majorBidi" w:eastAsia="DengXian" w:hAnsiTheme="majorBidi" w:cstheme="majorBidi"/>
                <w:color w:val="000000"/>
                <w:szCs w:val="20"/>
                <w:highlight w:val="green"/>
                <w:shd w:val="clear" w:color="auto" w:fill="FFFFFF"/>
                <w:lang w:eastAsia="zh-CN"/>
              </w:rPr>
            </w:pPr>
            <w:r w:rsidRPr="007E141B">
              <w:rPr>
                <w:rFonts w:asciiTheme="majorBidi" w:eastAsia="DengXian" w:hAnsiTheme="majorBidi" w:cstheme="majorBidi"/>
                <w:color w:val="000000"/>
                <w:szCs w:val="20"/>
                <w:highlight w:val="green"/>
                <w:shd w:val="clear" w:color="auto" w:fill="FFFFFF"/>
                <w:lang w:eastAsia="zh-CN"/>
              </w:rPr>
              <w:t>Agreement:</w:t>
            </w:r>
          </w:p>
          <w:p w14:paraId="2085C902" w14:textId="660656D3" w:rsidR="00486572" w:rsidRPr="007E141B" w:rsidRDefault="00486572" w:rsidP="004204CE">
            <w:pPr>
              <w:rPr>
                <w:rFonts w:asciiTheme="majorBidi" w:eastAsia="DengXian" w:hAnsiTheme="majorBidi" w:cstheme="majorBidi"/>
                <w:color w:val="000000"/>
                <w:szCs w:val="20"/>
                <w:shd w:val="clear" w:color="auto" w:fill="FFFFFF"/>
                <w:lang w:eastAsia="zh-CN"/>
              </w:rPr>
            </w:pPr>
            <w:r w:rsidRPr="007E141B">
              <w:rPr>
                <w:rFonts w:asciiTheme="majorBidi" w:eastAsia="DengXian" w:hAnsiTheme="majorBidi" w:cstheme="majorBidi"/>
                <w:color w:val="000000"/>
                <w:szCs w:val="20"/>
                <w:shd w:val="clear" w:color="auto" w:fill="FFFFFF"/>
                <w:lang w:eastAsia="zh-CN"/>
              </w:rPr>
              <w:t xml:space="preserve">With below revision, draft </w:t>
            </w:r>
            <w:hyperlink r:id="rId11" w:history="1">
              <w:r w:rsidRPr="007E141B">
                <w:rPr>
                  <w:rStyle w:val="Hyperlink"/>
                  <w:rFonts w:asciiTheme="majorBidi" w:eastAsia="DengXian" w:hAnsiTheme="majorBidi" w:cstheme="majorBidi"/>
                  <w:szCs w:val="20"/>
                  <w:shd w:val="clear" w:color="auto" w:fill="FFFFFF"/>
                  <w:lang w:eastAsia="zh-CN"/>
                </w:rPr>
                <w:t>R1-2110599</w:t>
              </w:r>
            </w:hyperlink>
            <w:r w:rsidRPr="007E141B">
              <w:rPr>
                <w:rFonts w:asciiTheme="majorBidi" w:eastAsia="DengXian" w:hAnsiTheme="majorBidi" w:cstheme="majorBidi"/>
                <w:color w:val="000000"/>
                <w:szCs w:val="20"/>
                <w:shd w:val="clear" w:color="auto" w:fill="FFFFFF"/>
                <w:lang w:eastAsia="zh-CN"/>
              </w:rPr>
              <w:t xml:space="preserve"> is endorsed in principle. </w:t>
            </w:r>
            <w:r w:rsidRPr="007E141B">
              <w:rPr>
                <w:rFonts w:asciiTheme="majorBidi" w:eastAsia="DengXian" w:hAnsiTheme="majorBidi" w:cstheme="majorBidi"/>
                <w:color w:val="000000"/>
                <w:szCs w:val="20"/>
                <w:highlight w:val="green"/>
                <w:shd w:val="clear" w:color="auto" w:fill="FFFFFF"/>
                <w:lang w:eastAsia="zh-CN"/>
              </w:rPr>
              <w:t xml:space="preserve">LS </w:t>
            </w:r>
            <w:hyperlink r:id="rId12" w:history="1">
              <w:r w:rsidRPr="007E141B">
                <w:rPr>
                  <w:rStyle w:val="Hyperlink"/>
                  <w:rFonts w:asciiTheme="majorBidi" w:eastAsia="DengXian" w:hAnsiTheme="majorBidi" w:cstheme="majorBidi"/>
                  <w:szCs w:val="20"/>
                  <w:highlight w:val="green"/>
                  <w:shd w:val="clear" w:color="auto" w:fill="FFFFFF"/>
                  <w:lang w:eastAsia="zh-CN"/>
                </w:rPr>
                <w:t>R1-2110600</w:t>
              </w:r>
            </w:hyperlink>
            <w:r w:rsidRPr="007E141B">
              <w:rPr>
                <w:rFonts w:asciiTheme="majorBidi" w:eastAsia="DengXian" w:hAnsiTheme="majorBidi" w:cstheme="majorBidi"/>
                <w:color w:val="000000"/>
                <w:szCs w:val="20"/>
                <w:highlight w:val="green"/>
                <w:shd w:val="clear" w:color="auto" w:fill="FFFFFF"/>
                <w:lang w:eastAsia="zh-CN"/>
              </w:rPr>
              <w:t xml:space="preserve"> is endorsed</w:t>
            </w:r>
            <w:r w:rsidRPr="007E141B">
              <w:rPr>
                <w:rFonts w:asciiTheme="majorBidi" w:eastAsia="DengXian" w:hAnsiTheme="majorBidi" w:cstheme="majorBidi"/>
                <w:color w:val="000000"/>
                <w:szCs w:val="20"/>
                <w:shd w:val="clear" w:color="auto" w:fill="FFFFFF"/>
                <w:lang w:eastAsia="zh-CN"/>
              </w:rPr>
              <w:t>.</w:t>
            </w:r>
          </w:p>
          <w:p w14:paraId="477D1683" w14:textId="77777777" w:rsidR="00486572" w:rsidRPr="007E141B" w:rsidRDefault="00486572" w:rsidP="001925A8">
            <w:pPr>
              <w:numPr>
                <w:ilvl w:val="0"/>
                <w:numId w:val="24"/>
              </w:numPr>
              <w:shd w:val="clear" w:color="auto" w:fill="FFFFFF"/>
              <w:spacing w:after="0" w:line="231" w:lineRule="atLeast"/>
              <w:rPr>
                <w:rFonts w:asciiTheme="majorBidi" w:hAnsiTheme="majorBidi" w:cstheme="majorBidi"/>
                <w:color w:val="FF0000"/>
              </w:rPr>
            </w:pPr>
            <w:r w:rsidRPr="007E141B">
              <w:rPr>
                <w:rFonts w:asciiTheme="majorBidi" w:eastAsia="DengXian" w:hAnsiTheme="majorBidi" w:cstheme="majorBidi"/>
                <w:iCs/>
                <w:color w:val="FF0000"/>
                <w:lang w:eastAsia="zh-CN"/>
              </w:rPr>
              <w:t xml:space="preserve">[RAN2/4] whether it is feasible for a RedCap UE to retune to a CD-SSB rather than use an NCD-SSB </w:t>
            </w:r>
            <w:r w:rsidRPr="007E141B">
              <w:rPr>
                <w:rFonts w:asciiTheme="majorBidi" w:hAnsiTheme="majorBidi" w:cstheme="majorBidi"/>
                <w:iCs/>
                <w:color w:val="FF0000"/>
                <w:lang w:eastAsia="zh-CN"/>
              </w:rPr>
              <w:t>of larger periodicity</w:t>
            </w:r>
          </w:p>
          <w:p w14:paraId="24D56FB1" w14:textId="77777777" w:rsidR="00486572" w:rsidRPr="007E141B" w:rsidRDefault="00486572" w:rsidP="001925A8">
            <w:pPr>
              <w:numPr>
                <w:ilvl w:val="0"/>
                <w:numId w:val="24"/>
              </w:numPr>
              <w:shd w:val="clear" w:color="auto" w:fill="FFFFFF"/>
              <w:spacing w:after="0" w:line="231" w:lineRule="atLeast"/>
              <w:rPr>
                <w:rFonts w:asciiTheme="majorBidi" w:hAnsiTheme="majorBidi" w:cstheme="majorBidi"/>
                <w:color w:val="FF0000"/>
              </w:rPr>
            </w:pPr>
            <w:r w:rsidRPr="007E141B">
              <w:rPr>
                <w:rFonts w:asciiTheme="majorBidi" w:eastAsia="DengXian" w:hAnsiTheme="majorBidi" w:cstheme="majorBidi"/>
                <w:iCs/>
                <w:color w:val="FF0000"/>
                <w:lang w:eastAsia="zh-CN"/>
              </w:rPr>
              <w:lastRenderedPageBreak/>
              <w:t>Remove the blue part of questions</w:t>
            </w:r>
          </w:p>
          <w:p w14:paraId="2B2A9372" w14:textId="4A6AD214" w:rsidR="00486572" w:rsidRPr="004E4A74" w:rsidRDefault="00486572" w:rsidP="001925A8">
            <w:pPr>
              <w:numPr>
                <w:ilvl w:val="0"/>
                <w:numId w:val="24"/>
              </w:numPr>
              <w:shd w:val="clear" w:color="auto" w:fill="FFFFFF"/>
              <w:spacing w:after="0" w:line="231" w:lineRule="atLeast"/>
              <w:rPr>
                <w:rFonts w:asciiTheme="majorBidi" w:hAnsiTheme="majorBidi" w:cstheme="majorBidi"/>
              </w:rPr>
            </w:pPr>
            <w:r w:rsidRPr="007E141B">
              <w:rPr>
                <w:rFonts w:asciiTheme="majorBidi" w:hAnsiTheme="majorBidi" w:cstheme="majorBidi"/>
              </w:rPr>
              <w:t xml:space="preserve">[RAN2/4] if </w:t>
            </w:r>
            <w:r w:rsidRPr="007E141B">
              <w:rPr>
                <w:rFonts w:asciiTheme="majorBidi" w:hAnsiTheme="majorBidi" w:cstheme="majorBidi"/>
                <w:strike/>
                <w:color w:val="FF0000"/>
              </w:rPr>
              <w:t>neither NCD-SSB nor</w:t>
            </w:r>
            <w:r w:rsidRPr="007E141B">
              <w:rPr>
                <w:rFonts w:asciiTheme="majorBidi" w:hAnsiTheme="majorBidi" w:cstheme="majorBidi"/>
                <w:color w:val="FF0000"/>
              </w:rPr>
              <w:t xml:space="preserve"> </w:t>
            </w:r>
            <w:r w:rsidRPr="007E141B">
              <w:rPr>
                <w:rFonts w:asciiTheme="majorBidi" w:hAnsiTheme="majorBidi" w:cstheme="majorBidi"/>
              </w:rPr>
              <w:t xml:space="preserve">CD-SSB is </w:t>
            </w:r>
            <w:r w:rsidRPr="007E141B">
              <w:rPr>
                <w:rFonts w:asciiTheme="majorBidi" w:hAnsiTheme="majorBidi" w:cstheme="majorBidi"/>
                <w:color w:val="FF0000"/>
              </w:rPr>
              <w:t xml:space="preserve">not </w:t>
            </w:r>
            <w:r w:rsidRPr="007E141B">
              <w:rPr>
                <w:rFonts w:asciiTheme="majorBidi" w:hAnsiTheme="majorBidi" w:cstheme="majorBidi"/>
              </w:rPr>
              <w:t xml:space="preserve">transmitted in the </w:t>
            </w:r>
            <w:r w:rsidRPr="007E141B">
              <w:rPr>
                <w:rFonts w:asciiTheme="majorBidi" w:hAnsiTheme="majorBidi" w:cstheme="majorBidi"/>
                <w:strike/>
                <w:color w:val="FF0000"/>
              </w:rPr>
              <w:t>initial/</w:t>
            </w:r>
            <w:r w:rsidRPr="007E141B">
              <w:rPr>
                <w:rFonts w:asciiTheme="majorBidi" w:hAnsiTheme="majorBidi" w:cstheme="majorBidi"/>
              </w:rPr>
              <w:t>non-initial DL BWP of RedCap UE, whether it is feasible to transmit periodic CSI-RS</w:t>
            </w:r>
            <w:r w:rsidRPr="007E141B">
              <w:rPr>
                <w:rFonts w:asciiTheme="majorBidi" w:hAnsiTheme="majorBidi" w:cstheme="majorBidi"/>
                <w:color w:val="FF0000"/>
              </w:rPr>
              <w:t xml:space="preserve"> for UE to use </w:t>
            </w:r>
            <w:r w:rsidRPr="007E141B">
              <w:rPr>
                <w:rFonts w:asciiTheme="majorBidi" w:hAnsiTheme="majorBidi" w:cstheme="majorBidi"/>
              </w:rPr>
              <w:t xml:space="preserve">as an alternative of SSB in the </w:t>
            </w:r>
            <w:r w:rsidRPr="007E141B">
              <w:rPr>
                <w:rFonts w:asciiTheme="majorBidi" w:hAnsiTheme="majorBidi" w:cstheme="majorBidi"/>
                <w:strike/>
                <w:color w:val="FF0000"/>
              </w:rPr>
              <w:t>initial/</w:t>
            </w:r>
            <w:r w:rsidRPr="007E141B">
              <w:rPr>
                <w:rFonts w:asciiTheme="majorBidi" w:hAnsiTheme="majorBidi" w:cstheme="majorBidi"/>
              </w:rPr>
              <w:t xml:space="preserve">non-initial BWP of RedCap UE </w:t>
            </w:r>
            <w:r w:rsidRPr="007E141B">
              <w:rPr>
                <w:rFonts w:asciiTheme="majorBidi" w:hAnsiTheme="majorBidi" w:cstheme="majorBidi"/>
                <w:color w:val="FF0000"/>
              </w:rPr>
              <w:t>or rely on UE performing RF retuning as in measurement gap outside active BWP for BWP without SSB nor CORESET#0 operation</w:t>
            </w:r>
            <w:r w:rsidRPr="007E141B">
              <w:rPr>
                <w:rFonts w:asciiTheme="majorBidi" w:hAnsiTheme="majorBidi" w:cstheme="majorBidi"/>
                <w:strike/>
                <w:color w:val="FF0000"/>
              </w:rPr>
              <w:t>, for idle/inactive/connected mode</w:t>
            </w:r>
          </w:p>
          <w:p w14:paraId="7F0A2353" w14:textId="42FA3418" w:rsidR="004E4A74" w:rsidRDefault="004E4A74" w:rsidP="004E4A74">
            <w:pPr>
              <w:shd w:val="clear" w:color="auto" w:fill="FFFFFF"/>
              <w:spacing w:after="0" w:line="231" w:lineRule="atLeast"/>
              <w:rPr>
                <w:rFonts w:asciiTheme="majorBidi" w:hAnsiTheme="majorBidi" w:cstheme="majorBidi"/>
              </w:rPr>
            </w:pPr>
          </w:p>
          <w:p w14:paraId="661FD063" w14:textId="77777777" w:rsidR="00486572" w:rsidRPr="007E141B" w:rsidRDefault="00486572" w:rsidP="004E4A74">
            <w:pPr>
              <w:autoSpaceDN w:val="0"/>
              <w:spacing w:line="252" w:lineRule="auto"/>
              <w:contextualSpacing/>
              <w:rPr>
                <w:rFonts w:asciiTheme="majorBidi" w:hAnsiTheme="majorBidi" w:cstheme="majorBidi"/>
                <w:highlight w:val="green"/>
              </w:rPr>
            </w:pPr>
            <w:r w:rsidRPr="007E141B">
              <w:rPr>
                <w:rFonts w:asciiTheme="majorBidi" w:hAnsiTheme="majorBidi" w:cstheme="majorBidi"/>
                <w:highlight w:val="green"/>
              </w:rPr>
              <w:t>Agreement:</w:t>
            </w:r>
          </w:p>
          <w:p w14:paraId="6D8A5588" w14:textId="77777777" w:rsidR="00486572" w:rsidRPr="007E141B" w:rsidRDefault="00486572" w:rsidP="004204CE">
            <w:pPr>
              <w:spacing w:line="252" w:lineRule="auto"/>
              <w:contextualSpacing/>
              <w:jc w:val="both"/>
              <w:rPr>
                <w:rFonts w:asciiTheme="majorBidi" w:hAnsiTheme="majorBidi" w:cstheme="majorBidi"/>
              </w:rPr>
            </w:pPr>
            <w:r w:rsidRPr="007E141B">
              <w:rPr>
                <w:rFonts w:asciiTheme="majorBidi" w:hAnsiTheme="majorBidi" w:cstheme="majorBidi"/>
              </w:rPr>
              <w:t>For FR1,</w:t>
            </w:r>
          </w:p>
          <w:p w14:paraId="6F002E00" w14:textId="77777777" w:rsidR="00486572" w:rsidRPr="007E141B" w:rsidRDefault="00486572" w:rsidP="001925A8">
            <w:pPr>
              <w:numPr>
                <w:ilvl w:val="0"/>
                <w:numId w:val="22"/>
              </w:numPr>
              <w:spacing w:after="0" w:line="252" w:lineRule="auto"/>
              <w:contextualSpacing/>
              <w:jc w:val="both"/>
              <w:rPr>
                <w:rFonts w:asciiTheme="majorBidi" w:hAnsiTheme="majorBidi" w:cstheme="majorBidi"/>
              </w:rPr>
            </w:pPr>
            <w:r w:rsidRPr="007E141B">
              <w:rPr>
                <w:rFonts w:asciiTheme="majorBidi" w:hAnsiTheme="majorBidi" w:cstheme="majorBidi"/>
              </w:rPr>
              <w:t>For TDD, center frequencies are assumed to be the same for the initial DL (FFS: if it does not include CD-SSB and the entire CORESET#0) and UL BWPs used during random access for RedCap UEs.</w:t>
            </w:r>
          </w:p>
          <w:p w14:paraId="74F1AFE8" w14:textId="77777777" w:rsidR="00486572" w:rsidRPr="007E141B" w:rsidRDefault="00486572" w:rsidP="001925A8">
            <w:pPr>
              <w:numPr>
                <w:ilvl w:val="1"/>
                <w:numId w:val="22"/>
              </w:numPr>
              <w:spacing w:after="0" w:line="252" w:lineRule="auto"/>
              <w:contextualSpacing/>
              <w:jc w:val="both"/>
              <w:rPr>
                <w:rFonts w:asciiTheme="majorBidi" w:hAnsiTheme="majorBidi" w:cstheme="majorBidi"/>
              </w:rPr>
            </w:pPr>
            <w:r w:rsidRPr="007E141B">
              <w:rPr>
                <w:rFonts w:asciiTheme="majorBidi" w:hAnsiTheme="majorBidi" w:cstheme="majorBidi"/>
              </w:rPr>
              <w:t>FFS: For Option 1 and Option 2, whether the case that the center frequencies are different is also supported, and whether RedCap UE can expect CD-SSB and CORESET#0 in this case</w:t>
            </w:r>
          </w:p>
          <w:p w14:paraId="76F6457F" w14:textId="77777777" w:rsidR="00486572" w:rsidRPr="007E141B" w:rsidRDefault="00486572" w:rsidP="001925A8">
            <w:pPr>
              <w:numPr>
                <w:ilvl w:val="0"/>
                <w:numId w:val="22"/>
              </w:numPr>
              <w:spacing w:after="0" w:line="252" w:lineRule="auto"/>
              <w:contextualSpacing/>
              <w:jc w:val="both"/>
              <w:rPr>
                <w:rFonts w:asciiTheme="majorBidi" w:hAnsiTheme="majorBidi" w:cstheme="majorBidi"/>
              </w:rPr>
            </w:pPr>
            <w:r w:rsidRPr="007E141B">
              <w:rPr>
                <w:rFonts w:asciiTheme="majorBidi" w:hAnsiTheme="majorBidi" w:cstheme="majorBidi"/>
              </w:rPr>
              <w:t>For TDD, center frequencies are assumed to be the same for non-initial DL and UL BWPs with the same BWP id for a RedCap UE.</w:t>
            </w:r>
          </w:p>
          <w:p w14:paraId="60D520D5" w14:textId="77777777" w:rsidR="00486572" w:rsidRPr="007E141B" w:rsidRDefault="00486572" w:rsidP="004204CE">
            <w:pPr>
              <w:spacing w:line="252" w:lineRule="auto"/>
              <w:contextualSpacing/>
              <w:jc w:val="both"/>
              <w:rPr>
                <w:rFonts w:asciiTheme="majorBidi" w:hAnsiTheme="majorBidi" w:cstheme="majorBidi"/>
              </w:rPr>
            </w:pPr>
            <w:r w:rsidRPr="007E141B">
              <w:rPr>
                <w:rFonts w:asciiTheme="majorBidi" w:hAnsiTheme="majorBidi" w:cstheme="majorBidi"/>
                <w:szCs w:val="20"/>
              </w:rPr>
              <w:t> </w:t>
            </w:r>
          </w:p>
        </w:tc>
      </w:tr>
    </w:tbl>
    <w:p w14:paraId="72819731" w14:textId="77777777" w:rsidR="005A71BC" w:rsidRDefault="005A71BC" w:rsidP="00A11EC1">
      <w:pPr>
        <w:jc w:val="both"/>
        <w:rPr>
          <w:lang w:eastAsia="ja-JP"/>
        </w:rPr>
      </w:pPr>
    </w:p>
    <w:p w14:paraId="4FFF77C5" w14:textId="32655E4A" w:rsidR="00E12DC8" w:rsidRPr="00106FB9" w:rsidRDefault="00214FCF" w:rsidP="00106FB9">
      <w:pPr>
        <w:jc w:val="both"/>
        <w:rPr>
          <w:lang w:eastAsia="ja-JP"/>
        </w:rPr>
      </w:pPr>
      <w:r w:rsidRPr="004020BD">
        <w:rPr>
          <w:lang w:eastAsia="ja-JP"/>
        </w:rPr>
        <w:t>In this section, we present our analysis on the bandwidth (BW) reduction aspects based on the above agreements</w:t>
      </w:r>
      <w:r w:rsidR="0035415D" w:rsidRPr="004020BD">
        <w:rPr>
          <w:lang w:eastAsia="ja-JP"/>
        </w:rPr>
        <w:t xml:space="preserve"> and working assumptions</w:t>
      </w:r>
      <w:r w:rsidRPr="004020BD">
        <w:rPr>
          <w:lang w:eastAsia="ja-JP"/>
        </w:rPr>
        <w:t>.</w:t>
      </w:r>
    </w:p>
    <w:p w14:paraId="646F53FB" w14:textId="7D09ED8A" w:rsidR="00D94CC5" w:rsidRPr="00F63816" w:rsidRDefault="0037497D" w:rsidP="00F63816">
      <w:pPr>
        <w:pStyle w:val="Heading1"/>
        <w:rPr>
          <w:lang w:val="en-US"/>
        </w:rPr>
      </w:pPr>
      <w:r>
        <w:rPr>
          <w:lang w:val="en-US"/>
        </w:rPr>
        <w:t>2</w:t>
      </w:r>
      <w:r w:rsidR="00E12DC8" w:rsidRPr="00AA3123">
        <w:rPr>
          <w:lang w:val="en-US"/>
        </w:rPr>
        <w:t xml:space="preserve"> </w:t>
      </w:r>
      <w:r w:rsidR="00E12DC8" w:rsidRPr="00AA3123">
        <w:rPr>
          <w:lang w:val="en-US"/>
        </w:rPr>
        <w:tab/>
      </w:r>
      <w:bookmarkStart w:id="0" w:name="_Hlk67306131"/>
      <w:r w:rsidR="00E12DC8" w:rsidRPr="00AA3123">
        <w:rPr>
          <w:lang w:val="en-US"/>
        </w:rPr>
        <w:t>Initial UL BWP</w:t>
      </w:r>
      <w:bookmarkEnd w:id="0"/>
    </w:p>
    <w:p w14:paraId="2D7A4237" w14:textId="682AA334" w:rsidR="00E12DC8" w:rsidRPr="0028212D" w:rsidRDefault="0037497D" w:rsidP="00D94CC5">
      <w:pPr>
        <w:pStyle w:val="Heading2"/>
      </w:pPr>
      <w:r>
        <w:t>2</w:t>
      </w:r>
      <w:r w:rsidR="00E12DC8" w:rsidRPr="00AA3123">
        <w:t>.</w:t>
      </w:r>
      <w:r w:rsidR="00E12DC8">
        <w:t>1</w:t>
      </w:r>
      <w:r w:rsidR="00E12DC8">
        <w:tab/>
        <w:t>Multiple initial UL BWPs for RedCap</w:t>
      </w:r>
    </w:p>
    <w:p w14:paraId="0E6AF7C6" w14:textId="6D0D72D2" w:rsidR="0032569D" w:rsidRPr="0080109E" w:rsidRDefault="00E12DC8" w:rsidP="00E14A7B">
      <w:pPr>
        <w:jc w:val="both"/>
        <w:rPr>
          <w:szCs w:val="20"/>
        </w:rPr>
      </w:pPr>
      <w:r>
        <w:t>In the latest feature lead summary (FL5) in RAN1#106bis-e</w:t>
      </w:r>
      <w:r>
        <w:rPr>
          <w:szCs w:val="20"/>
          <w:lang w:eastAsia="ja-JP"/>
        </w:rPr>
        <w:t xml:space="preserve">, there was a discussion on </w:t>
      </w:r>
      <w:r w:rsidRPr="00062D96">
        <w:rPr>
          <w:szCs w:val="20"/>
          <w:lang w:eastAsia="ja-JP"/>
        </w:rPr>
        <w:t>whether up to 2 separate initial UL BWPs can also be configured</w:t>
      </w:r>
      <w:r>
        <w:rPr>
          <w:szCs w:val="20"/>
          <w:lang w:eastAsia="ja-JP"/>
        </w:rPr>
        <w:t xml:space="preserve"> for RedCap</w:t>
      </w:r>
      <w:r w:rsidRPr="00062D96">
        <w:rPr>
          <w:szCs w:val="20"/>
          <w:lang w:eastAsia="ja-JP"/>
        </w:rPr>
        <w:t>.</w:t>
      </w:r>
      <w:r>
        <w:rPr>
          <w:szCs w:val="20"/>
          <w:lang w:eastAsia="ja-JP"/>
        </w:rPr>
        <w:t xml:space="preserve"> </w:t>
      </w:r>
    </w:p>
    <w:p w14:paraId="25B4D704" w14:textId="06074A71" w:rsidR="00666F8A" w:rsidRDefault="00B760AE" w:rsidP="00E14A7B">
      <w:pPr>
        <w:jc w:val="both"/>
        <w:rPr>
          <w:lang w:eastAsia="ja-JP"/>
        </w:rPr>
      </w:pPr>
      <w:r>
        <w:rPr>
          <w:rFonts w:eastAsiaTheme="minorEastAsia"/>
          <w:lang w:eastAsia="zh-CN"/>
        </w:rPr>
        <w:t>The m</w:t>
      </w:r>
      <w:r w:rsidR="005F6C1E">
        <w:rPr>
          <w:rFonts w:eastAsiaTheme="minorEastAsia"/>
          <w:lang w:eastAsia="zh-CN"/>
        </w:rPr>
        <w:t xml:space="preserve">otivation for </w:t>
      </w:r>
      <w:r w:rsidR="00136F86">
        <w:rPr>
          <w:rFonts w:eastAsiaTheme="minorEastAsia"/>
          <w:lang w:eastAsia="zh-CN"/>
        </w:rPr>
        <w:t xml:space="preserve">configuring two separate initial UL BWPs for RedCap is </w:t>
      </w:r>
      <w:r w:rsidR="0058271D">
        <w:rPr>
          <w:rFonts w:eastAsiaTheme="minorEastAsia"/>
          <w:lang w:eastAsia="zh-CN"/>
        </w:rPr>
        <w:t xml:space="preserve">quite limited. </w:t>
      </w:r>
      <w:r w:rsidR="00CB7EF7">
        <w:rPr>
          <w:rFonts w:eastAsiaTheme="minorEastAsia"/>
          <w:lang w:eastAsia="zh-CN"/>
        </w:rPr>
        <w:t>In terms of RACH</w:t>
      </w:r>
      <w:r w:rsidR="002C22A2">
        <w:rPr>
          <w:rFonts w:eastAsiaTheme="minorEastAsia"/>
          <w:lang w:eastAsia="zh-CN"/>
        </w:rPr>
        <w:t xml:space="preserve"> occasions (ROs)</w:t>
      </w:r>
      <w:r w:rsidR="00461C3D">
        <w:rPr>
          <w:rFonts w:eastAsiaTheme="minorEastAsia"/>
          <w:lang w:eastAsia="zh-CN"/>
        </w:rPr>
        <w:t xml:space="preserve">, </w:t>
      </w:r>
      <w:r w:rsidR="00CB7EF7">
        <w:rPr>
          <w:rFonts w:eastAsiaTheme="minorEastAsia"/>
          <w:lang w:eastAsia="zh-CN"/>
        </w:rPr>
        <w:t xml:space="preserve">using two RedCap initial UL BWPs </w:t>
      </w:r>
      <w:r w:rsidR="002C22A2">
        <w:rPr>
          <w:rFonts w:eastAsiaTheme="minorEastAsia"/>
          <w:lang w:eastAsia="zh-CN"/>
        </w:rPr>
        <w:t>for covering</w:t>
      </w:r>
      <w:r w:rsidR="00CB7EF7">
        <w:rPr>
          <w:rFonts w:eastAsiaTheme="minorEastAsia"/>
          <w:lang w:eastAsia="zh-CN"/>
        </w:rPr>
        <w:t xml:space="preserve"> all ROs</w:t>
      </w:r>
      <w:r w:rsidR="000964E2">
        <w:rPr>
          <w:rFonts w:eastAsiaTheme="minorEastAsia"/>
          <w:lang w:eastAsia="zh-CN"/>
        </w:rPr>
        <w:t xml:space="preserve"> shared between RedCap and non-RedCap </w:t>
      </w:r>
      <w:r w:rsidR="00204F4E">
        <w:rPr>
          <w:rFonts w:eastAsiaTheme="minorEastAsia"/>
          <w:lang w:eastAsia="zh-CN"/>
        </w:rPr>
        <w:t xml:space="preserve">may only be useful for </w:t>
      </w:r>
      <w:r w:rsidR="00581A88">
        <w:rPr>
          <w:rFonts w:eastAsiaTheme="minorEastAsia"/>
          <w:lang w:eastAsia="zh-CN"/>
        </w:rPr>
        <w:t xml:space="preserve">special cases with 8 </w:t>
      </w:r>
      <w:proofErr w:type="spellStart"/>
      <w:r w:rsidR="00581A88">
        <w:rPr>
          <w:rFonts w:eastAsiaTheme="minorEastAsia"/>
          <w:lang w:eastAsia="zh-CN"/>
        </w:rPr>
        <w:t>FDMed</w:t>
      </w:r>
      <w:proofErr w:type="spellEnd"/>
      <w:r w:rsidR="00581A88">
        <w:rPr>
          <w:rFonts w:eastAsiaTheme="minorEastAsia"/>
          <w:lang w:eastAsia="zh-CN"/>
        </w:rPr>
        <w:t xml:space="preserve"> ROs </w:t>
      </w:r>
      <w:r w:rsidR="00666F8A">
        <w:rPr>
          <w:rFonts w:eastAsiaTheme="minorEastAsia"/>
          <w:lang w:eastAsia="zh-CN"/>
        </w:rPr>
        <w:t xml:space="preserve">which may not be common. </w:t>
      </w:r>
      <w:r w:rsidR="00666F8A">
        <w:rPr>
          <w:lang w:eastAsia="ja-JP"/>
        </w:rPr>
        <w:t xml:space="preserve">The total frequency span of 8 FDM-ed RACH occasions is greater than 20 MHz in FR1 and 100 MHz in FR2 in the following configurations: </w:t>
      </w:r>
    </w:p>
    <w:p w14:paraId="25A9750C" w14:textId="77777777" w:rsidR="00666F8A" w:rsidRPr="006E0427" w:rsidRDefault="00666F8A" w:rsidP="00E14A7B">
      <w:pPr>
        <w:pStyle w:val="ListParagraph"/>
        <w:numPr>
          <w:ilvl w:val="0"/>
          <w:numId w:val="12"/>
        </w:numPr>
        <w:jc w:val="both"/>
        <w:rPr>
          <w:rFonts w:ascii="Arial" w:hAnsi="Arial" w:cs="Arial"/>
          <w:sz w:val="20"/>
          <w:szCs w:val="20"/>
          <w:lang w:eastAsia="ja-JP"/>
        </w:rPr>
      </w:pPr>
      <w:r w:rsidRPr="006E0427">
        <w:rPr>
          <w:rFonts w:ascii="Arial" w:hAnsi="Arial" w:cs="Arial"/>
          <w:sz w:val="20"/>
          <w:szCs w:val="20"/>
          <w:lang w:eastAsia="ja-JP"/>
        </w:rPr>
        <w:t>Preamble Format 3 in FR1, L=839 (long preamble), 5 kHz SCS: total BW of 8 FDM-ed RACH occasions = 34.56 MHz</w:t>
      </w:r>
    </w:p>
    <w:p w14:paraId="70FC0780" w14:textId="77777777" w:rsidR="00666F8A" w:rsidRPr="006E0427" w:rsidRDefault="00666F8A" w:rsidP="00E14A7B">
      <w:pPr>
        <w:pStyle w:val="ListParagraph"/>
        <w:numPr>
          <w:ilvl w:val="0"/>
          <w:numId w:val="12"/>
        </w:numPr>
        <w:jc w:val="both"/>
        <w:rPr>
          <w:rFonts w:ascii="Arial" w:hAnsi="Arial" w:cs="Arial"/>
          <w:sz w:val="20"/>
          <w:szCs w:val="20"/>
          <w:lang w:eastAsia="ja-JP"/>
        </w:rPr>
      </w:pPr>
      <w:r w:rsidRPr="006E0427">
        <w:rPr>
          <w:rFonts w:ascii="Arial" w:hAnsi="Arial" w:cs="Arial"/>
          <w:sz w:val="20"/>
          <w:szCs w:val="20"/>
          <w:lang w:eastAsia="ja-JP"/>
        </w:rPr>
        <w:t>FR1, L=139 (short preamble), 30 kHz SCS: total BW of 8 FDM-ed RACH occasions = 34.56 MHz</w:t>
      </w:r>
    </w:p>
    <w:p w14:paraId="0FB8B7E8" w14:textId="77777777" w:rsidR="00666F8A" w:rsidRDefault="00666F8A" w:rsidP="00E14A7B">
      <w:pPr>
        <w:pStyle w:val="ListParagraph"/>
        <w:numPr>
          <w:ilvl w:val="0"/>
          <w:numId w:val="12"/>
        </w:numPr>
        <w:jc w:val="both"/>
        <w:rPr>
          <w:rFonts w:ascii="Arial" w:hAnsi="Arial" w:cs="Arial"/>
          <w:sz w:val="20"/>
          <w:szCs w:val="20"/>
          <w:lang w:eastAsia="ja-JP"/>
        </w:rPr>
      </w:pPr>
      <w:r w:rsidRPr="006E0427">
        <w:rPr>
          <w:rFonts w:ascii="Arial" w:hAnsi="Arial" w:cs="Arial"/>
          <w:sz w:val="20"/>
          <w:szCs w:val="20"/>
          <w:lang w:eastAsia="ja-JP"/>
        </w:rPr>
        <w:t>FR2, L=139 (short preamble), 120 kHz SCS: total BW of 8 FDM-ed RACH occasions = 138.24 MHz</w:t>
      </w:r>
    </w:p>
    <w:p w14:paraId="3C74033E" w14:textId="77777777" w:rsidR="00666F8A" w:rsidRPr="006E0427" w:rsidRDefault="00666F8A" w:rsidP="00E14A7B">
      <w:pPr>
        <w:pStyle w:val="ListParagraph"/>
        <w:jc w:val="both"/>
        <w:rPr>
          <w:rFonts w:ascii="Arial" w:hAnsi="Arial" w:cs="Arial"/>
          <w:sz w:val="20"/>
          <w:szCs w:val="20"/>
          <w:lang w:eastAsia="ja-JP"/>
        </w:rPr>
      </w:pPr>
    </w:p>
    <w:p w14:paraId="49AD31B2" w14:textId="60BF8C9E" w:rsidR="00666F8A" w:rsidRDefault="00666F8A" w:rsidP="00E14A7B">
      <w:pPr>
        <w:jc w:val="both"/>
        <w:rPr>
          <w:lang w:eastAsia="ja-JP"/>
        </w:rPr>
      </w:pPr>
      <w:r>
        <w:rPr>
          <w:lang w:eastAsia="ja-JP"/>
        </w:rPr>
        <w:t xml:space="preserve">Also, if needed, proper gNB configuration can resolve this issue. Although the flexibility of the network configuration for non-RedCap UE can be impacted, such impact is not significant and sufficient capacity can still be achieved with less than 8 FDM-ed RACH occasions (e.g., 4 FDM-ed RACH occasions). Moreover, multiplexing in the time domain can be used to increase PRACH capacity. </w:t>
      </w:r>
    </w:p>
    <w:p w14:paraId="2F8272C0" w14:textId="2B9B0DA8" w:rsidR="00B760AE" w:rsidRDefault="00417ECE" w:rsidP="00E14A7B">
      <w:pPr>
        <w:jc w:val="both"/>
        <w:rPr>
          <w:lang w:eastAsia="ja-JP"/>
        </w:rPr>
      </w:pPr>
      <w:r>
        <w:rPr>
          <w:lang w:eastAsia="ja-JP"/>
        </w:rPr>
        <w:t xml:space="preserve">It should be noted that </w:t>
      </w:r>
      <w:r w:rsidR="00E00330">
        <w:rPr>
          <w:lang w:eastAsia="ja-JP"/>
        </w:rPr>
        <w:t>RedCap UEs can have a dedicated RACH configuration</w:t>
      </w:r>
      <w:r w:rsidR="00CF146F">
        <w:rPr>
          <w:lang w:eastAsia="ja-JP"/>
        </w:rPr>
        <w:t xml:space="preserve"> and </w:t>
      </w:r>
      <w:r w:rsidR="00E00330">
        <w:rPr>
          <w:lang w:eastAsia="ja-JP"/>
        </w:rPr>
        <w:t xml:space="preserve">ROs </w:t>
      </w:r>
      <w:r w:rsidR="00CF146F">
        <w:rPr>
          <w:lang w:eastAsia="ja-JP"/>
        </w:rPr>
        <w:t>can be fully or partially overlapped with non-RedCap ROs</w:t>
      </w:r>
      <w:r w:rsidR="009A31E6">
        <w:rPr>
          <w:lang w:eastAsia="ja-JP"/>
        </w:rPr>
        <w:t>. Then</w:t>
      </w:r>
      <w:r w:rsidR="00D625BD">
        <w:rPr>
          <w:lang w:eastAsia="ja-JP"/>
        </w:rPr>
        <w:t xml:space="preserve"> in scenarios where the frequency span of </w:t>
      </w:r>
      <w:r w:rsidR="00D625BD">
        <w:rPr>
          <w:rFonts w:eastAsiaTheme="minorEastAsia"/>
          <w:lang w:eastAsia="zh-CN"/>
        </w:rPr>
        <w:t xml:space="preserve">8 </w:t>
      </w:r>
      <w:proofErr w:type="spellStart"/>
      <w:r w:rsidR="00D625BD">
        <w:rPr>
          <w:rFonts w:eastAsiaTheme="minorEastAsia"/>
          <w:lang w:eastAsia="zh-CN"/>
        </w:rPr>
        <w:t>FDMed</w:t>
      </w:r>
      <w:proofErr w:type="spellEnd"/>
      <w:r w:rsidR="00D625BD">
        <w:rPr>
          <w:rFonts w:eastAsiaTheme="minorEastAsia"/>
          <w:lang w:eastAsia="zh-CN"/>
        </w:rPr>
        <w:t xml:space="preserve"> ROs </w:t>
      </w:r>
      <w:r w:rsidR="00721BFA">
        <w:rPr>
          <w:rFonts w:eastAsiaTheme="minorEastAsia"/>
          <w:lang w:eastAsia="zh-CN"/>
        </w:rPr>
        <w:t xml:space="preserve">exceeds the RedCap UE BW, ROs </w:t>
      </w:r>
      <w:r w:rsidR="00C2606D">
        <w:rPr>
          <w:rFonts w:eastAsiaTheme="minorEastAsia"/>
          <w:lang w:eastAsia="zh-CN"/>
        </w:rPr>
        <w:t xml:space="preserve">does not need to </w:t>
      </w:r>
      <w:r w:rsidR="00344E3B">
        <w:rPr>
          <w:rFonts w:eastAsiaTheme="minorEastAsia"/>
          <w:lang w:eastAsia="zh-CN"/>
        </w:rPr>
        <w:t xml:space="preserve">be </w:t>
      </w:r>
      <w:r w:rsidR="00C2606D">
        <w:rPr>
          <w:rFonts w:eastAsiaTheme="minorEastAsia"/>
          <w:lang w:eastAsia="zh-CN"/>
        </w:rPr>
        <w:t>fully shared between RedCap and non-RedCap UEs.</w:t>
      </w:r>
    </w:p>
    <w:p w14:paraId="482C3D09" w14:textId="76F87966" w:rsidR="005F6C1E" w:rsidRPr="006B638A" w:rsidRDefault="00B760AE" w:rsidP="00E14A7B">
      <w:pPr>
        <w:jc w:val="both"/>
        <w:rPr>
          <w:lang w:eastAsia="ja-JP"/>
        </w:rPr>
      </w:pPr>
      <w:r>
        <w:rPr>
          <w:lang w:eastAsia="ja-JP"/>
        </w:rPr>
        <w:t xml:space="preserve">In general, defining multiple initial UL BWPs (e.g., two BWPs) for RedCap UEs makes the coexistence of RedCap and non-RedCap more complicated. In particular, it has the following drawbacks: 1) PUSCH resource fragmentation, 2) May need corresponding DL BWP configuration in TDD (in case center frequency alignment is preferred), 3) Significant increase of overhead and reduced spectral/energy efficiency.  </w:t>
      </w:r>
    </w:p>
    <w:p w14:paraId="1B68C73B" w14:textId="5E7036C5" w:rsidR="00B60F05" w:rsidRDefault="00B60F05" w:rsidP="00E14A7B">
      <w:pPr>
        <w:jc w:val="both"/>
        <w:rPr>
          <w:rFonts w:eastAsiaTheme="minorEastAsia"/>
          <w:lang w:eastAsia="zh-CN"/>
        </w:rPr>
      </w:pPr>
      <w:r>
        <w:rPr>
          <w:rFonts w:eastAsiaTheme="minorEastAsia"/>
          <w:lang w:eastAsia="zh-CN"/>
        </w:rPr>
        <w:t xml:space="preserve">In our </w:t>
      </w:r>
      <w:r w:rsidR="00E14A7B">
        <w:rPr>
          <w:rFonts w:eastAsiaTheme="minorEastAsia"/>
          <w:lang w:eastAsia="zh-CN"/>
        </w:rPr>
        <w:t>view</w:t>
      </w:r>
      <w:r w:rsidR="00D13E32">
        <w:rPr>
          <w:rFonts w:eastAsiaTheme="minorEastAsia"/>
          <w:lang w:eastAsia="zh-CN"/>
        </w:rPr>
        <w:t xml:space="preserve">, as illustrated in </w:t>
      </w:r>
      <w:r w:rsidR="006320F5">
        <w:rPr>
          <w:rFonts w:eastAsiaTheme="minorEastAsia"/>
          <w:lang w:eastAsia="zh-CN"/>
        </w:rPr>
        <w:fldChar w:fldCharType="begin"/>
      </w:r>
      <w:r w:rsidR="006320F5">
        <w:rPr>
          <w:rFonts w:eastAsiaTheme="minorEastAsia"/>
          <w:lang w:eastAsia="zh-CN"/>
        </w:rPr>
        <w:instrText xml:space="preserve"> REF _Ref86221931 \h </w:instrText>
      </w:r>
      <w:r w:rsidR="00E14A7B">
        <w:rPr>
          <w:rFonts w:eastAsiaTheme="minorEastAsia"/>
          <w:lang w:eastAsia="zh-CN"/>
        </w:rPr>
        <w:instrText xml:space="preserve"> \* MERGEFORMAT </w:instrText>
      </w:r>
      <w:r w:rsidR="006320F5">
        <w:rPr>
          <w:rFonts w:eastAsiaTheme="minorEastAsia"/>
          <w:lang w:eastAsia="zh-CN"/>
        </w:rPr>
      </w:r>
      <w:r w:rsidR="006320F5">
        <w:rPr>
          <w:rFonts w:eastAsiaTheme="minorEastAsia"/>
          <w:lang w:eastAsia="zh-CN"/>
        </w:rPr>
        <w:fldChar w:fldCharType="separate"/>
      </w:r>
      <w:r w:rsidR="007A78E0">
        <w:t xml:space="preserve">Figure </w:t>
      </w:r>
      <w:r w:rsidR="007A78E0">
        <w:rPr>
          <w:noProof/>
        </w:rPr>
        <w:t>1</w:t>
      </w:r>
      <w:r w:rsidR="006320F5">
        <w:rPr>
          <w:rFonts w:eastAsiaTheme="minorEastAsia"/>
          <w:lang w:eastAsia="zh-CN"/>
        </w:rPr>
        <w:fldChar w:fldCharType="end"/>
      </w:r>
      <w:r>
        <w:rPr>
          <w:rFonts w:eastAsiaTheme="minorEastAsia"/>
          <w:lang w:eastAsia="zh-CN"/>
        </w:rPr>
        <w:t xml:space="preserve">, configuring </w:t>
      </w:r>
      <w:r w:rsidR="006B638A">
        <w:rPr>
          <w:rFonts w:eastAsiaTheme="minorEastAsia"/>
          <w:lang w:eastAsia="zh-CN"/>
        </w:rPr>
        <w:t>two</w:t>
      </w:r>
      <w:r>
        <w:rPr>
          <w:rFonts w:eastAsiaTheme="minorEastAsia"/>
          <w:lang w:eastAsia="zh-CN"/>
        </w:rPr>
        <w:t xml:space="preserve"> separate initial UL BWPs can result in significant overhead from potentially configuring additional SSB and CORESET/CSS in the corresponding DL BWPs. Additionally, this can also result in resource fragmentation even with disabled PUCCH FH.  Especially, since RACH resources are contiguous in frequency, if two RedCap initial UL BWPs are used to cover all ROs, then </w:t>
      </w:r>
      <w:r>
        <w:rPr>
          <w:rFonts w:eastAsiaTheme="minorEastAsia"/>
          <w:lang w:eastAsia="zh-CN"/>
        </w:rPr>
        <w:lastRenderedPageBreak/>
        <w:t>in most cases it is not possible to place both initial UL BWPs at the edges, which results in PUSCH fragmentation:</w:t>
      </w:r>
    </w:p>
    <w:p w14:paraId="546514A9" w14:textId="133A8C04" w:rsidR="00D05512" w:rsidRDefault="00D05512" w:rsidP="00B60F05">
      <w:pPr>
        <w:rPr>
          <w:rFonts w:eastAsiaTheme="minorEastAsia"/>
          <w:lang w:eastAsia="zh-CN"/>
        </w:rPr>
      </w:pPr>
    </w:p>
    <w:p w14:paraId="4DA310DE" w14:textId="77777777" w:rsidR="006320F5" w:rsidRDefault="00296EE9" w:rsidP="004E4A74">
      <w:pPr>
        <w:keepNext/>
        <w:jc w:val="center"/>
      </w:pPr>
      <w:r>
        <w:rPr>
          <w:noProof/>
          <w:lang w:eastAsia="ja-JP"/>
        </w:rPr>
        <w:drawing>
          <wp:inline distT="0" distB="0" distL="0" distR="0" wp14:anchorId="00E00D0E" wp14:editId="6FC6739F">
            <wp:extent cx="6053488" cy="1943052"/>
            <wp:effectExtent l="0" t="0" r="4445" b="635"/>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36705" cy="1969763"/>
                    </a:xfrm>
                    <a:prstGeom prst="rect">
                      <a:avLst/>
                    </a:prstGeom>
                    <a:noFill/>
                  </pic:spPr>
                </pic:pic>
              </a:graphicData>
            </a:graphic>
          </wp:inline>
        </w:drawing>
      </w:r>
    </w:p>
    <w:p w14:paraId="0FB0A20D" w14:textId="4CE95BC0" w:rsidR="00E12DC8" w:rsidRDefault="006320F5" w:rsidP="004E4A74">
      <w:pPr>
        <w:pStyle w:val="Caption"/>
        <w:jc w:val="center"/>
        <w:rPr>
          <w:lang w:eastAsia="ja-JP"/>
        </w:rPr>
      </w:pPr>
      <w:bookmarkStart w:id="1" w:name="_Ref86221931"/>
      <w:r>
        <w:t xml:space="preserve">Figure </w:t>
      </w:r>
      <w:r>
        <w:fldChar w:fldCharType="begin"/>
      </w:r>
      <w:r>
        <w:instrText xml:space="preserve"> SEQ Figure \* ARABIC </w:instrText>
      </w:r>
      <w:r>
        <w:fldChar w:fldCharType="separate"/>
      </w:r>
      <w:r w:rsidR="007A78E0">
        <w:rPr>
          <w:noProof/>
        </w:rPr>
        <w:t>1</w:t>
      </w:r>
      <w:r>
        <w:fldChar w:fldCharType="end"/>
      </w:r>
      <w:bookmarkEnd w:id="1"/>
      <w:r>
        <w:t>: Issues of configuring two initial UL BWPs for RedCap.</w:t>
      </w:r>
    </w:p>
    <w:p w14:paraId="4F146E90" w14:textId="5DE2742F" w:rsidR="006E0427" w:rsidRDefault="006E0427" w:rsidP="00E12DC8">
      <w:pPr>
        <w:rPr>
          <w:lang w:eastAsia="ja-JP"/>
        </w:rPr>
      </w:pPr>
    </w:p>
    <w:p w14:paraId="1D6285ED" w14:textId="170E1FE6" w:rsidR="004135D3" w:rsidRDefault="004135D3" w:rsidP="004135D3">
      <w:pPr>
        <w:pStyle w:val="Observation"/>
      </w:pPr>
      <w:bookmarkStart w:id="2" w:name="_Toc87060604"/>
      <w:r>
        <w:t>The motivation for configuring two initial UL BWPs for RedCap is quite limited while the impact on the coexistence of RedCap and non-RedCap can be significant.</w:t>
      </w:r>
      <w:bookmarkEnd w:id="2"/>
    </w:p>
    <w:p w14:paraId="2BC7B3C1" w14:textId="13EA70A8" w:rsidR="006E0427" w:rsidRPr="004135D3" w:rsidRDefault="0071571A" w:rsidP="004757D4">
      <w:pPr>
        <w:pStyle w:val="Observation"/>
      </w:pPr>
      <w:bookmarkStart w:id="3" w:name="_Toc87060605"/>
      <w:r>
        <w:t xml:space="preserve">Configuration of two separate initial UL BWPs for RedCap UEs </w:t>
      </w:r>
      <w:r w:rsidR="00307761">
        <w:t xml:space="preserve">can result in </w:t>
      </w:r>
      <w:r w:rsidR="001B301A">
        <w:t xml:space="preserve">PUSCH resource fragmentation and significant overhead </w:t>
      </w:r>
      <w:r w:rsidR="001B301A">
        <w:rPr>
          <w:rFonts w:eastAsiaTheme="minorEastAsia"/>
          <w:lang w:val="en-US" w:eastAsia="zh-CN"/>
        </w:rPr>
        <w:t>from potentially configuring additional SSB and CORESET/CSS in the corresponding DL BWPs.</w:t>
      </w:r>
      <w:bookmarkEnd w:id="3"/>
    </w:p>
    <w:p w14:paraId="6FFD4EA5" w14:textId="77777777" w:rsidR="00A13994" w:rsidRDefault="00A13994" w:rsidP="00DB68F8">
      <w:pPr>
        <w:pStyle w:val="Proposal"/>
        <w:rPr>
          <w:rFonts w:eastAsiaTheme="minorEastAsia"/>
        </w:rPr>
      </w:pPr>
      <w:bookmarkStart w:id="4" w:name="_Toc87060619"/>
      <w:r>
        <w:t>In Rel-17, a single separate initial UL BWP for RedCap UEs can be configured in SIB.</w:t>
      </w:r>
      <w:bookmarkEnd w:id="4"/>
    </w:p>
    <w:p w14:paraId="087D3F18" w14:textId="77777777" w:rsidR="006E0427" w:rsidRDefault="006E0427" w:rsidP="00E12DC8">
      <w:pPr>
        <w:rPr>
          <w:lang w:eastAsia="ja-JP"/>
        </w:rPr>
      </w:pPr>
    </w:p>
    <w:p w14:paraId="0645888F" w14:textId="3411A268" w:rsidR="00E12DC8" w:rsidRPr="002F534A" w:rsidRDefault="00EB29C3" w:rsidP="00E12DC8">
      <w:pPr>
        <w:pStyle w:val="Heading2"/>
      </w:pPr>
      <w:r>
        <w:t>2</w:t>
      </w:r>
      <w:r w:rsidR="00E12DC8" w:rsidRPr="005D7CF6">
        <w:t>.</w:t>
      </w:r>
      <w:r>
        <w:t>2</w:t>
      </w:r>
      <w:r w:rsidR="00E12DC8">
        <w:tab/>
        <w:t>PUCCH transmissions during initial access</w:t>
      </w:r>
    </w:p>
    <w:p w14:paraId="349477C8" w14:textId="77777777" w:rsidR="00E12DC8" w:rsidRPr="00F45664" w:rsidRDefault="00E12DC8" w:rsidP="00E12DC8">
      <w:pPr>
        <w:pStyle w:val="ArialText"/>
        <w:rPr>
          <w:rFonts w:ascii="Times" w:eastAsia="Batang" w:hAnsi="Times" w:cs="Times New Roman"/>
          <w:szCs w:val="24"/>
          <w:highlight w:val="darkYellow"/>
          <w:lang w:val="en-GB"/>
        </w:rPr>
      </w:pPr>
      <w:r>
        <w:t xml:space="preserve">Regarding </w:t>
      </w:r>
      <w:r w:rsidRPr="00F45664">
        <w:t>PUCCH (for Msg4/[MsgB] HARQ feedback)</w:t>
      </w:r>
      <w:r>
        <w:t xml:space="preserve"> </w:t>
      </w:r>
      <w:r w:rsidRPr="00F45664">
        <w:t>transmissions</w:t>
      </w:r>
      <w:r>
        <w:t xml:space="preserve"> during initial access, we have the following agreement and FFSs:</w:t>
      </w:r>
    </w:p>
    <w:tbl>
      <w:tblPr>
        <w:tblW w:w="9629" w:type="dxa"/>
        <w:tblCellMar>
          <w:left w:w="0" w:type="dxa"/>
          <w:right w:w="0" w:type="dxa"/>
        </w:tblCellMar>
        <w:tblLook w:val="04A0" w:firstRow="1" w:lastRow="0" w:firstColumn="1" w:lastColumn="0" w:noHBand="0" w:noVBand="1"/>
      </w:tblPr>
      <w:tblGrid>
        <w:gridCol w:w="9629"/>
      </w:tblGrid>
      <w:tr w:rsidR="00E12DC8" w:rsidRPr="00E916C2" w14:paraId="63B1393E" w14:textId="77777777" w:rsidTr="004204CE">
        <w:tc>
          <w:tcPr>
            <w:tcW w:w="9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C3FABA" w14:textId="77777777" w:rsidR="00E12DC8" w:rsidRPr="00825457" w:rsidRDefault="00E12DC8" w:rsidP="004204CE">
            <w:pPr>
              <w:shd w:val="clear" w:color="auto" w:fill="FFFFFF"/>
              <w:spacing w:after="0" w:line="231" w:lineRule="atLeast"/>
              <w:rPr>
                <w:rFonts w:ascii="Microsoft YaHei UI" w:eastAsia="Microsoft YaHei UI" w:hAnsi="Microsoft YaHei UI" w:cs="SimSun"/>
                <w:color w:val="000000"/>
                <w:sz w:val="21"/>
                <w:szCs w:val="21"/>
                <w:lang w:eastAsia="zh-CN"/>
              </w:rPr>
            </w:pPr>
            <w:r w:rsidRPr="00825457">
              <w:rPr>
                <w:rFonts w:ascii="Times New Roman" w:eastAsia="Microsoft YaHei UI" w:hAnsi="Times New Roman" w:cs="Times New Roman" w:hint="eastAsia"/>
                <w:color w:val="000000"/>
                <w:szCs w:val="20"/>
                <w:shd w:val="clear" w:color="auto" w:fill="00FF00"/>
                <w:lang w:eastAsia="zh-CN"/>
              </w:rPr>
              <w:t>Agreement</w:t>
            </w:r>
            <w:r w:rsidRPr="00825457">
              <w:rPr>
                <w:rFonts w:ascii="Times New Roman" w:eastAsia="Microsoft YaHei UI" w:hAnsi="Times New Roman" w:cs="Times New Roman"/>
                <w:color w:val="000000"/>
                <w:szCs w:val="20"/>
                <w:shd w:val="clear" w:color="auto" w:fill="00FF00"/>
                <w:lang w:eastAsia="zh-CN"/>
              </w:rPr>
              <w:t>:</w:t>
            </w:r>
          </w:p>
          <w:p w14:paraId="7F768333" w14:textId="77777777" w:rsidR="00E12DC8" w:rsidRPr="00825457" w:rsidRDefault="00E12DC8" w:rsidP="001925A8">
            <w:pPr>
              <w:numPr>
                <w:ilvl w:val="0"/>
                <w:numId w:val="23"/>
              </w:numPr>
              <w:shd w:val="clear" w:color="auto" w:fill="FFFFFF"/>
              <w:spacing w:after="0" w:line="231" w:lineRule="atLeast"/>
              <w:rPr>
                <w:rFonts w:ascii="Calibri" w:eastAsia="Microsoft YaHei UI" w:hAnsi="Calibri" w:cs="Calibri"/>
                <w:color w:val="000000"/>
                <w:sz w:val="22"/>
                <w:lang w:eastAsia="zh-CN"/>
              </w:rPr>
            </w:pPr>
            <w:r w:rsidRPr="00F63816">
              <w:rPr>
                <w:rFonts w:ascii="Times" w:eastAsia="Microsoft YaHei UI" w:hAnsi="Times" w:cs="Times"/>
                <w:color w:val="000000"/>
                <w:szCs w:val="20"/>
                <w:highlight w:val="yellow"/>
                <w:lang w:eastAsia="zh-CN"/>
              </w:rPr>
              <w:t>FFS:</w:t>
            </w:r>
            <w:r w:rsidRPr="00825457">
              <w:rPr>
                <w:rFonts w:ascii="Times" w:eastAsia="Microsoft YaHei UI" w:hAnsi="Times" w:cs="Times"/>
                <w:color w:val="000000"/>
                <w:szCs w:val="20"/>
                <w:lang w:eastAsia="zh-CN"/>
              </w:rPr>
              <w:t xml:space="preserve"> What specification changes (if any) are needed to support that the network can enable/disable intra-slot PUCCH frequency hopping (FH) within the separate initial UL BWP in the PUCCH resource for HARQ feedback for Msg4/MsgB for RedCap</w:t>
            </w:r>
          </w:p>
          <w:p w14:paraId="00944AF2" w14:textId="77777777" w:rsidR="00E12DC8" w:rsidRPr="00825457" w:rsidRDefault="00E12DC8" w:rsidP="001925A8">
            <w:pPr>
              <w:numPr>
                <w:ilvl w:val="0"/>
                <w:numId w:val="23"/>
              </w:numPr>
              <w:shd w:val="clear" w:color="auto" w:fill="FFFFFF"/>
              <w:spacing w:after="0" w:line="231" w:lineRule="atLeast"/>
              <w:rPr>
                <w:rFonts w:ascii="Calibri" w:eastAsia="Microsoft YaHei UI" w:hAnsi="Calibri" w:cs="Calibri"/>
                <w:color w:val="000000"/>
                <w:sz w:val="22"/>
                <w:lang w:eastAsia="zh-CN"/>
              </w:rPr>
            </w:pPr>
            <w:r w:rsidRPr="00F63816">
              <w:rPr>
                <w:rFonts w:ascii="Times New Roman" w:eastAsia="Microsoft YaHei UI" w:hAnsi="Times New Roman" w:cs="Times New Roman"/>
                <w:color w:val="000000"/>
                <w:szCs w:val="20"/>
                <w:highlight w:val="yellow"/>
                <w:lang w:eastAsia="zh-CN"/>
              </w:rPr>
              <w:t>FFS:</w:t>
            </w:r>
            <w:r w:rsidRPr="00825457">
              <w:rPr>
                <w:rFonts w:ascii="Times New Roman" w:eastAsia="Microsoft YaHei UI" w:hAnsi="Times New Roman" w:cs="Times New Roman"/>
                <w:color w:val="000000"/>
                <w:szCs w:val="20"/>
                <w:lang w:eastAsia="zh-CN"/>
              </w:rPr>
              <w:t xml:space="preserve"> Whether any specification changes are needed and desired in order to support multiplexing of non-FH and FH PUCCH transmissions in PUCCH resources.</w:t>
            </w:r>
          </w:p>
          <w:p w14:paraId="540BCC80" w14:textId="77777777" w:rsidR="00E12DC8" w:rsidRPr="006D7C88" w:rsidRDefault="00E12DC8" w:rsidP="004204CE">
            <w:pPr>
              <w:spacing w:after="0" w:line="252" w:lineRule="auto"/>
              <w:rPr>
                <w:rFonts w:ascii="Times" w:eastAsia="Times New Roman" w:hAnsi="Times" w:cs="Times"/>
                <w:szCs w:val="20"/>
                <w:lang w:val="en-GB" w:eastAsia="ja-JP"/>
              </w:rPr>
            </w:pPr>
          </w:p>
        </w:tc>
      </w:tr>
    </w:tbl>
    <w:p w14:paraId="49CDEE6E" w14:textId="3AEB8EA0" w:rsidR="00321CC6" w:rsidRDefault="00321CC6" w:rsidP="00321CC6">
      <w:pPr>
        <w:pStyle w:val="Heading3"/>
      </w:pPr>
      <w:r>
        <w:t>2.2.1</w:t>
      </w:r>
      <w:r>
        <w:tab/>
        <w:t xml:space="preserve">Disabling </w:t>
      </w:r>
      <w:bookmarkStart w:id="5" w:name="_Toc68606801"/>
      <w:bookmarkStart w:id="6" w:name="_Toc68640479"/>
      <w:bookmarkStart w:id="7" w:name="_Toc68640596"/>
      <w:bookmarkStart w:id="8" w:name="_Toc68640740"/>
      <w:bookmarkStart w:id="9" w:name="_Toc68640912"/>
      <w:bookmarkStart w:id="10" w:name="_Toc68642460"/>
      <w:bookmarkStart w:id="11" w:name="_Toc68642579"/>
      <w:bookmarkStart w:id="12" w:name="_Toc68642843"/>
      <w:bookmarkStart w:id="13" w:name="_Toc68643006"/>
      <w:bookmarkEnd w:id="5"/>
      <w:bookmarkEnd w:id="6"/>
      <w:bookmarkEnd w:id="7"/>
      <w:bookmarkEnd w:id="8"/>
      <w:bookmarkEnd w:id="9"/>
      <w:bookmarkEnd w:id="10"/>
      <w:bookmarkEnd w:id="11"/>
      <w:bookmarkEnd w:id="12"/>
      <w:bookmarkEnd w:id="13"/>
      <w:r>
        <w:t>frequency hopping</w:t>
      </w:r>
    </w:p>
    <w:p w14:paraId="641C83E4" w14:textId="4B548933" w:rsidR="00E12DC8" w:rsidRPr="008728D3" w:rsidRDefault="00E12DC8" w:rsidP="00E12DC8">
      <w:pPr>
        <w:pStyle w:val="ArialText"/>
        <w:rPr>
          <w:rStyle w:val="IvDbodytextChar"/>
          <w:szCs w:val="24"/>
          <w:lang w:eastAsia="sv-SE"/>
        </w:rPr>
      </w:pPr>
      <w:r>
        <w:rPr>
          <w:szCs w:val="20"/>
        </w:rPr>
        <w:t xml:space="preserve">As agreed in </w:t>
      </w:r>
      <w:r w:rsidRPr="004020BD">
        <w:rPr>
          <w:szCs w:val="20"/>
        </w:rPr>
        <w:t>RAN1#10</w:t>
      </w:r>
      <w:r>
        <w:rPr>
          <w:szCs w:val="20"/>
        </w:rPr>
        <w:t>6bis</w:t>
      </w:r>
      <w:r w:rsidRPr="004020BD">
        <w:rPr>
          <w:szCs w:val="20"/>
        </w:rPr>
        <w:t>-e</w:t>
      </w:r>
      <w:r>
        <w:rPr>
          <w:szCs w:val="20"/>
        </w:rPr>
        <w:t xml:space="preserve">, </w:t>
      </w:r>
      <w:r w:rsidRPr="00B075F1">
        <w:rPr>
          <w:szCs w:val="20"/>
        </w:rPr>
        <w:t>the network can enable/disable intra-slot PUCCH frequency hopping within the separate initial UL BWP in the PUCCH resource for HARQ feedback for Msg4/MsgB for RedCap UEs</w:t>
      </w:r>
      <w:r>
        <w:rPr>
          <w:szCs w:val="20"/>
        </w:rPr>
        <w:t xml:space="preserve"> </w:t>
      </w:r>
      <w:r w:rsidRPr="00782206">
        <w:rPr>
          <w:szCs w:val="20"/>
        </w:rPr>
        <w:t>at least via SIB</w:t>
      </w:r>
      <w:r w:rsidRPr="00B075F1">
        <w:rPr>
          <w:szCs w:val="20"/>
        </w:rPr>
        <w:t>.</w:t>
      </w:r>
      <w:r>
        <w:rPr>
          <w:szCs w:val="20"/>
        </w:rPr>
        <w:t xml:space="preserve"> In the current specifications, </w:t>
      </w:r>
      <w:r>
        <w:rPr>
          <w:rFonts w:cs="Arial"/>
          <w:szCs w:val="20"/>
        </w:rPr>
        <w:t xml:space="preserve">the PUCCH frequency hopping before a dedicated RRC connection is always enabled based on the PUCCH configuration in </w:t>
      </w:r>
      <w:r w:rsidRPr="000E0284">
        <w:rPr>
          <w:rFonts w:cs="Arial"/>
          <w:i/>
          <w:iCs/>
          <w:szCs w:val="20"/>
        </w:rPr>
        <w:t>PUCCH-</w:t>
      </w:r>
      <w:proofErr w:type="spellStart"/>
      <w:r w:rsidRPr="000E0284">
        <w:rPr>
          <w:rFonts w:cs="Arial"/>
          <w:i/>
          <w:iCs/>
          <w:szCs w:val="20"/>
        </w:rPr>
        <w:t>ConfigCommon</w:t>
      </w:r>
      <w:proofErr w:type="spellEnd"/>
      <w:r>
        <w:rPr>
          <w:rFonts w:cs="Arial"/>
          <w:i/>
          <w:iCs/>
          <w:szCs w:val="20"/>
        </w:rPr>
        <w:t xml:space="preserve"> </w:t>
      </w:r>
      <w:r>
        <w:rPr>
          <w:rFonts w:cs="Arial"/>
          <w:szCs w:val="20"/>
        </w:rPr>
        <w:t>from SIB1.</w:t>
      </w:r>
      <w:r>
        <w:rPr>
          <w:szCs w:val="20"/>
        </w:rPr>
        <w:t xml:space="preserve"> Therefore, specification changes are needed to support the possibility of disabling PUCCH frequency hopping for RedCap UEs. For example, f</w:t>
      </w:r>
      <w:r w:rsidRPr="006D779B">
        <w:rPr>
          <w:szCs w:val="20"/>
        </w:rPr>
        <w:t xml:space="preserve">or RedCap UEs, a new information element can be added in </w:t>
      </w:r>
      <w:r w:rsidRPr="00D63E29">
        <w:rPr>
          <w:i/>
          <w:iCs/>
          <w:szCs w:val="20"/>
        </w:rPr>
        <w:t>PUCCH-</w:t>
      </w:r>
      <w:proofErr w:type="spellStart"/>
      <w:r w:rsidRPr="00D63E29">
        <w:rPr>
          <w:i/>
          <w:iCs/>
          <w:szCs w:val="20"/>
        </w:rPr>
        <w:t>ConfigCommon</w:t>
      </w:r>
      <w:proofErr w:type="spellEnd"/>
      <w:r w:rsidRPr="006D779B">
        <w:rPr>
          <w:szCs w:val="20"/>
        </w:rPr>
        <w:t xml:space="preserve"> </w:t>
      </w:r>
      <w:r>
        <w:rPr>
          <w:szCs w:val="20"/>
        </w:rPr>
        <w:t xml:space="preserve">in SIB1 </w:t>
      </w:r>
      <w:r w:rsidRPr="006D779B">
        <w:rPr>
          <w:szCs w:val="20"/>
        </w:rPr>
        <w:t>to indicate whether the PUCCH frequency hopping for RedCap UEs is enabled or disabled.</w:t>
      </w:r>
      <w:r>
        <w:rPr>
          <w:szCs w:val="20"/>
        </w:rPr>
        <w:t xml:space="preserve"> </w:t>
      </w:r>
    </w:p>
    <w:p w14:paraId="3ABF9535" w14:textId="77777777" w:rsidR="0070586E" w:rsidRDefault="0070586E" w:rsidP="0070586E">
      <w:pPr>
        <w:pStyle w:val="ListParagraph"/>
        <w:autoSpaceDN w:val="0"/>
        <w:spacing w:line="252" w:lineRule="auto"/>
        <w:ind w:left="1440"/>
        <w:contextualSpacing/>
        <w:rPr>
          <w:rStyle w:val="IvDbodytextChar"/>
          <w:color w:val="000000"/>
          <w:sz w:val="20"/>
          <w:szCs w:val="20"/>
        </w:rPr>
      </w:pPr>
    </w:p>
    <w:p w14:paraId="317D5899" w14:textId="30AE70E7" w:rsidR="00D01D09" w:rsidRDefault="00D01D09" w:rsidP="00E14A7B">
      <w:pPr>
        <w:autoSpaceDN w:val="0"/>
        <w:spacing w:line="252" w:lineRule="auto"/>
        <w:contextualSpacing/>
        <w:jc w:val="both"/>
        <w:rPr>
          <w:rStyle w:val="IvDbodytextChar"/>
          <w:rFonts w:eastAsia="Calibri"/>
          <w:color w:val="000000"/>
          <w:szCs w:val="20"/>
        </w:rPr>
      </w:pPr>
      <w:r>
        <w:rPr>
          <w:rStyle w:val="IvDbodytextChar"/>
          <w:color w:val="000000"/>
          <w:szCs w:val="20"/>
        </w:rPr>
        <w:t xml:space="preserve">Moreover, </w:t>
      </w:r>
      <w:r w:rsidR="00147DD5">
        <w:rPr>
          <w:rStyle w:val="IvDbodytextChar"/>
          <w:color w:val="000000"/>
          <w:szCs w:val="20"/>
        </w:rPr>
        <w:t xml:space="preserve">the </w:t>
      </w:r>
      <w:r w:rsidR="00147DD5" w:rsidRPr="00147DD5">
        <w:rPr>
          <w:rStyle w:val="IvDbodytextChar"/>
          <w:color w:val="000000"/>
          <w:szCs w:val="20"/>
        </w:rPr>
        <w:t>frequency domain resource allocation</w:t>
      </w:r>
      <w:r w:rsidR="00147DD5">
        <w:rPr>
          <w:rStyle w:val="IvDbodytextChar"/>
          <w:color w:val="000000"/>
          <w:szCs w:val="20"/>
        </w:rPr>
        <w:t xml:space="preserve"> for PUCCH</w:t>
      </w:r>
      <w:r w:rsidR="0070586E">
        <w:rPr>
          <w:rStyle w:val="IvDbodytextChar"/>
          <w:color w:val="000000"/>
          <w:szCs w:val="20"/>
        </w:rPr>
        <w:t xml:space="preserve"> before dedicated signaling</w:t>
      </w:r>
      <w:r w:rsidR="00364995">
        <w:rPr>
          <w:rStyle w:val="IvDbodytextChar"/>
          <w:color w:val="000000"/>
          <w:szCs w:val="20"/>
        </w:rPr>
        <w:t xml:space="preserve"> with enabled PUCCH FH</w:t>
      </w:r>
      <w:r w:rsidR="00455979">
        <w:rPr>
          <w:rStyle w:val="IvDbodytextChar"/>
          <w:color w:val="000000"/>
          <w:szCs w:val="20"/>
        </w:rPr>
        <w:t xml:space="preserve"> (i.e., two hops)</w:t>
      </w:r>
      <w:r w:rsidR="0070586E">
        <w:rPr>
          <w:rStyle w:val="IvDbodytextChar"/>
          <w:color w:val="000000"/>
          <w:szCs w:val="20"/>
        </w:rPr>
        <w:t xml:space="preserve"> is described</w:t>
      </w:r>
      <w:r w:rsidR="00147DD5" w:rsidRPr="00147DD5">
        <w:rPr>
          <w:rStyle w:val="IvDbodytextChar"/>
          <w:color w:val="000000"/>
          <w:szCs w:val="20"/>
        </w:rPr>
        <w:t xml:space="preserve"> </w:t>
      </w:r>
      <w:r>
        <w:rPr>
          <w:rStyle w:val="IvDbodytextChar"/>
          <w:color w:val="000000"/>
          <w:szCs w:val="20"/>
        </w:rPr>
        <w:t xml:space="preserve">in </w:t>
      </w:r>
      <w:r w:rsidRPr="00147DD5">
        <w:rPr>
          <w:rStyle w:val="IvDbodytextChar"/>
          <w:rFonts w:eastAsia="Calibri"/>
          <w:color w:val="000000"/>
          <w:szCs w:val="20"/>
        </w:rPr>
        <w:t>TS 38.213 (</w:t>
      </w:r>
      <w:r w:rsidR="00364995">
        <w:rPr>
          <w:rStyle w:val="IvDbodytextChar"/>
          <w:rFonts w:eastAsia="Calibri"/>
          <w:color w:val="000000"/>
          <w:szCs w:val="20"/>
        </w:rPr>
        <w:t>S</w:t>
      </w:r>
      <w:r w:rsidR="00147DD5" w:rsidRPr="00147DD5">
        <w:rPr>
          <w:rStyle w:val="IvDbodytextChar"/>
          <w:rFonts w:eastAsia="Calibri"/>
          <w:color w:val="000000"/>
          <w:szCs w:val="20"/>
        </w:rPr>
        <w:t>ection 9.2.1</w:t>
      </w:r>
      <w:r w:rsidR="002B0A04">
        <w:rPr>
          <w:rStyle w:val="IvDbodytextChar"/>
          <w:rFonts w:eastAsia="Calibri"/>
          <w:color w:val="000000"/>
          <w:szCs w:val="20"/>
        </w:rPr>
        <w:t xml:space="preserve"> </w:t>
      </w:r>
      <w:r w:rsidR="002B0A04" w:rsidRPr="00161ADC">
        <w:rPr>
          <w:rStyle w:val="IvDbodytextChar"/>
          <w:rFonts w:eastAsia="Calibri"/>
          <w:color w:val="000000"/>
          <w:szCs w:val="20"/>
        </w:rPr>
        <w:t xml:space="preserve">PUCCH </w:t>
      </w:r>
      <w:r w:rsidR="002B0A04">
        <w:rPr>
          <w:rStyle w:val="IvDbodytextChar"/>
          <w:color w:val="000000"/>
          <w:szCs w:val="20"/>
        </w:rPr>
        <w:t>r</w:t>
      </w:r>
      <w:r w:rsidR="002B0A04" w:rsidRPr="00161ADC">
        <w:rPr>
          <w:rStyle w:val="IvDbodytextChar"/>
          <w:rFonts w:eastAsia="Calibri"/>
          <w:color w:val="000000"/>
          <w:szCs w:val="20"/>
        </w:rPr>
        <w:t xml:space="preserve">esource </w:t>
      </w:r>
      <w:r w:rsidR="002B0A04">
        <w:rPr>
          <w:rStyle w:val="IvDbodytextChar"/>
          <w:color w:val="000000"/>
          <w:szCs w:val="20"/>
        </w:rPr>
        <w:t>s</w:t>
      </w:r>
      <w:r w:rsidR="002B0A04" w:rsidRPr="00161ADC">
        <w:rPr>
          <w:rStyle w:val="IvDbodytextChar"/>
          <w:rFonts w:eastAsia="Calibri"/>
          <w:color w:val="000000"/>
          <w:szCs w:val="20"/>
        </w:rPr>
        <w:t>ets</w:t>
      </w:r>
      <w:r w:rsidRPr="00147DD5">
        <w:rPr>
          <w:rStyle w:val="IvDbodytextChar"/>
          <w:rFonts w:eastAsia="Calibri"/>
          <w:color w:val="000000"/>
          <w:szCs w:val="20"/>
        </w:rPr>
        <w:t>)</w:t>
      </w:r>
      <w:r w:rsidR="0070586E">
        <w:rPr>
          <w:rStyle w:val="IvDbodytextChar"/>
          <w:rFonts w:eastAsia="Calibri"/>
          <w:color w:val="000000"/>
          <w:szCs w:val="20"/>
        </w:rPr>
        <w:t xml:space="preserve">. </w:t>
      </w:r>
      <w:r w:rsidR="00384F8D">
        <w:rPr>
          <w:rStyle w:val="IvDbodytextChar"/>
          <w:rFonts w:eastAsia="Calibri"/>
          <w:color w:val="000000"/>
          <w:szCs w:val="20"/>
        </w:rPr>
        <w:t>This description needs to be updated f</w:t>
      </w:r>
      <w:r w:rsidR="009E187F">
        <w:rPr>
          <w:rStyle w:val="IvDbodytextChar"/>
          <w:rFonts w:eastAsia="Calibri"/>
          <w:color w:val="000000"/>
          <w:szCs w:val="20"/>
        </w:rPr>
        <w:t>or RedCap with the option of disabled PUCCH FH</w:t>
      </w:r>
      <w:r w:rsidR="00384F8D">
        <w:rPr>
          <w:rStyle w:val="IvDbodytextChar"/>
          <w:rFonts w:eastAsia="Calibri"/>
          <w:color w:val="000000"/>
          <w:szCs w:val="20"/>
        </w:rPr>
        <w:t xml:space="preserve"> </w:t>
      </w:r>
      <w:r w:rsidR="00455979">
        <w:rPr>
          <w:rStyle w:val="IvDbodytextChar"/>
          <w:rFonts w:eastAsia="Calibri"/>
          <w:color w:val="000000"/>
          <w:szCs w:val="20"/>
        </w:rPr>
        <w:t xml:space="preserve">where only one </w:t>
      </w:r>
      <w:r w:rsidR="00E92831">
        <w:rPr>
          <w:rStyle w:val="IvDbodytextChar"/>
          <w:rFonts w:eastAsia="Calibri"/>
          <w:color w:val="000000"/>
          <w:szCs w:val="20"/>
        </w:rPr>
        <w:t xml:space="preserve">frequency hop </w:t>
      </w:r>
      <w:r w:rsidR="001D6DAA">
        <w:rPr>
          <w:rStyle w:val="IvDbodytextChar"/>
          <w:rFonts w:eastAsia="Calibri"/>
          <w:color w:val="000000"/>
          <w:szCs w:val="20"/>
        </w:rPr>
        <w:t>can be used.</w:t>
      </w:r>
      <w:r w:rsidR="002E0A7A">
        <w:rPr>
          <w:rStyle w:val="IvDbodytextChar"/>
          <w:rFonts w:eastAsia="Calibri"/>
          <w:color w:val="000000"/>
          <w:szCs w:val="20"/>
        </w:rPr>
        <w:t xml:space="preserve"> </w:t>
      </w:r>
      <w:r w:rsidR="002E0A7A" w:rsidRPr="002E0A7A">
        <w:rPr>
          <w:rStyle w:val="IvDbodytextChar"/>
          <w:rFonts w:eastAsia="Calibri"/>
          <w:color w:val="000000"/>
          <w:szCs w:val="20"/>
        </w:rPr>
        <w:t xml:space="preserve">In addition, it needs to be specified which </w:t>
      </w:r>
      <w:r w:rsidR="002E0A7A">
        <w:rPr>
          <w:rStyle w:val="IvDbodytextChar"/>
          <w:rFonts w:eastAsia="Calibri"/>
          <w:color w:val="000000"/>
          <w:szCs w:val="20"/>
        </w:rPr>
        <w:t xml:space="preserve">frequency </w:t>
      </w:r>
      <w:r w:rsidR="002E0A7A" w:rsidRPr="002E0A7A">
        <w:rPr>
          <w:rStyle w:val="IvDbodytextChar"/>
          <w:rFonts w:eastAsia="Calibri"/>
          <w:color w:val="000000"/>
          <w:szCs w:val="20"/>
        </w:rPr>
        <w:t>hop</w:t>
      </w:r>
      <w:r w:rsidR="002E0A7A">
        <w:rPr>
          <w:rStyle w:val="IvDbodytextChar"/>
          <w:rFonts w:eastAsia="Calibri"/>
          <w:color w:val="000000"/>
          <w:szCs w:val="20"/>
        </w:rPr>
        <w:t xml:space="preserve"> (PRB)</w:t>
      </w:r>
      <w:r w:rsidR="002E0A7A" w:rsidRPr="002E0A7A">
        <w:rPr>
          <w:rStyle w:val="IvDbodytextChar"/>
          <w:rFonts w:eastAsia="Calibri"/>
          <w:color w:val="000000"/>
          <w:szCs w:val="20"/>
        </w:rPr>
        <w:t xml:space="preserve"> is used for PUCCH transmissions </w:t>
      </w:r>
      <w:r w:rsidR="002E0A7A" w:rsidRPr="002E0A7A">
        <w:rPr>
          <w:rStyle w:val="IvDbodytextChar"/>
          <w:rFonts w:eastAsia="Calibri"/>
          <w:color w:val="000000"/>
          <w:szCs w:val="20"/>
        </w:rPr>
        <w:lastRenderedPageBreak/>
        <w:t>when the FH is disabled. In general, it is desired to have the PUCCH transmissions at the carrier edge to prevent the PUSCH resource fragmentation. Therefore, it is desired to use the PUCCH hop located at the carrier edge and disable the one which is in the middle of the carrier.</w:t>
      </w:r>
      <w:r w:rsidR="00D26807">
        <w:rPr>
          <w:rStyle w:val="IvDbodytextChar"/>
          <w:rFonts w:eastAsia="Calibri"/>
          <w:color w:val="000000"/>
          <w:szCs w:val="20"/>
        </w:rPr>
        <w:t xml:space="preserve"> It may also be beneficial to configure different sets of cell-specific PUCCH resources/parameters (using, for e.g., different indices in </w:t>
      </w:r>
      <w:r w:rsidR="00D26807" w:rsidRPr="00092DA4">
        <w:t>Table 9.2.1-1</w:t>
      </w:r>
      <w:r w:rsidR="00D26807">
        <w:t xml:space="preserve"> of TS 38.213) </w:t>
      </w:r>
      <w:r w:rsidR="00D26807">
        <w:rPr>
          <w:rStyle w:val="IvDbodytextChar"/>
          <w:rFonts w:eastAsia="Calibri"/>
          <w:color w:val="000000"/>
          <w:szCs w:val="20"/>
        </w:rPr>
        <w:t>for RedCap and non-RedCap UEs.</w:t>
      </w:r>
    </w:p>
    <w:p w14:paraId="227E1E94" w14:textId="19A94E77" w:rsidR="00A5294D" w:rsidRDefault="00A5294D" w:rsidP="00D01D09">
      <w:pPr>
        <w:autoSpaceDN w:val="0"/>
        <w:spacing w:line="252" w:lineRule="auto"/>
        <w:contextualSpacing/>
        <w:rPr>
          <w:rStyle w:val="IvDbodytextChar"/>
          <w:rFonts w:eastAsia="Calibri"/>
          <w:color w:val="000000"/>
          <w:szCs w:val="20"/>
        </w:rPr>
      </w:pPr>
    </w:p>
    <w:p w14:paraId="28AFFB38" w14:textId="01F0C55C" w:rsidR="00C8371A" w:rsidRDefault="00C8371A" w:rsidP="00C8371A">
      <w:pPr>
        <w:pStyle w:val="Observation"/>
        <w:rPr>
          <w:rStyle w:val="IvDbodytextChar"/>
          <w:rFonts w:eastAsia="Calibri"/>
          <w:color w:val="000000"/>
          <w:szCs w:val="20"/>
        </w:rPr>
      </w:pPr>
      <w:bookmarkStart w:id="14" w:name="_Toc87060606"/>
      <w:r>
        <w:rPr>
          <w:rStyle w:val="IvDbodytextChar"/>
          <w:rFonts w:eastAsia="Calibri"/>
          <w:color w:val="000000"/>
          <w:szCs w:val="20"/>
        </w:rPr>
        <w:t>I</w:t>
      </w:r>
      <w:r w:rsidRPr="002E0A7A">
        <w:rPr>
          <w:rStyle w:val="IvDbodytextChar"/>
          <w:rFonts w:eastAsia="Calibri"/>
          <w:color w:val="000000"/>
          <w:szCs w:val="20"/>
        </w:rPr>
        <w:t>t is desired to have the PUCCH transmissions at the carrier edge to prevent the PUSCH resource fragmentation</w:t>
      </w:r>
      <w:r w:rsidR="00E33929">
        <w:rPr>
          <w:rStyle w:val="IvDbodytextChar"/>
          <w:rFonts w:eastAsia="Calibri"/>
          <w:color w:val="000000"/>
          <w:szCs w:val="20"/>
        </w:rPr>
        <w:t xml:space="preserve">. To this end, </w:t>
      </w:r>
      <w:r>
        <w:rPr>
          <w:rStyle w:val="IvDbodytextChar"/>
          <w:rFonts w:eastAsia="Calibri"/>
          <w:color w:val="000000"/>
          <w:szCs w:val="20"/>
        </w:rPr>
        <w:t xml:space="preserve">the </w:t>
      </w:r>
      <w:r w:rsidRPr="002E0A7A">
        <w:rPr>
          <w:rStyle w:val="IvDbodytextChar"/>
          <w:rFonts w:eastAsia="Calibri"/>
          <w:color w:val="000000"/>
          <w:szCs w:val="20"/>
        </w:rPr>
        <w:t xml:space="preserve">PUCCH </w:t>
      </w:r>
      <w:r>
        <w:rPr>
          <w:rStyle w:val="IvDbodytextChar"/>
          <w:rFonts w:eastAsia="Calibri"/>
          <w:color w:val="000000"/>
          <w:szCs w:val="20"/>
        </w:rPr>
        <w:t xml:space="preserve">frequency </w:t>
      </w:r>
      <w:r w:rsidRPr="002E0A7A">
        <w:rPr>
          <w:rStyle w:val="IvDbodytextChar"/>
          <w:rFonts w:eastAsia="Calibri"/>
          <w:color w:val="000000"/>
          <w:szCs w:val="20"/>
        </w:rPr>
        <w:t>hop located at the carrier edge</w:t>
      </w:r>
      <w:r>
        <w:rPr>
          <w:rStyle w:val="IvDbodytextChar"/>
          <w:rFonts w:eastAsia="Calibri"/>
          <w:color w:val="000000"/>
          <w:szCs w:val="20"/>
        </w:rPr>
        <w:t xml:space="preserve"> should be </w:t>
      </w:r>
      <w:r w:rsidR="00E33929">
        <w:rPr>
          <w:rStyle w:val="IvDbodytextChar"/>
          <w:rFonts w:eastAsia="Calibri"/>
          <w:color w:val="000000"/>
          <w:szCs w:val="20"/>
        </w:rPr>
        <w:t>used for RedCap.</w:t>
      </w:r>
      <w:bookmarkEnd w:id="14"/>
    </w:p>
    <w:p w14:paraId="24EB7FA5" w14:textId="7250D102" w:rsidR="00E33929" w:rsidRDefault="00E33929" w:rsidP="00E33929">
      <w:pPr>
        <w:pStyle w:val="Proposal"/>
        <w:rPr>
          <w:rStyle w:val="IvDbodytextChar"/>
          <w:rFonts w:eastAsia="Calibri"/>
          <w:color w:val="000000"/>
          <w:szCs w:val="20"/>
        </w:rPr>
      </w:pPr>
      <w:bookmarkStart w:id="15" w:name="_Toc87060620"/>
      <w:r>
        <w:rPr>
          <w:rStyle w:val="IvDbodytextChar"/>
          <w:rFonts w:eastAsia="Calibri"/>
          <w:color w:val="000000"/>
          <w:szCs w:val="20"/>
        </w:rPr>
        <w:t>I</w:t>
      </w:r>
      <w:r w:rsidRPr="002E0A7A">
        <w:rPr>
          <w:rStyle w:val="IvDbodytextChar"/>
          <w:rFonts w:eastAsia="Calibri"/>
          <w:color w:val="000000"/>
          <w:szCs w:val="20"/>
        </w:rPr>
        <w:t xml:space="preserve">t needs to be specified which </w:t>
      </w:r>
      <w:r>
        <w:rPr>
          <w:rStyle w:val="IvDbodytextChar"/>
          <w:rFonts w:eastAsia="Calibri"/>
          <w:color w:val="000000"/>
          <w:szCs w:val="20"/>
        </w:rPr>
        <w:t xml:space="preserve">frequency </w:t>
      </w:r>
      <w:r w:rsidRPr="002E0A7A">
        <w:rPr>
          <w:rStyle w:val="IvDbodytextChar"/>
          <w:rFonts w:eastAsia="Calibri"/>
          <w:color w:val="000000"/>
          <w:szCs w:val="20"/>
        </w:rPr>
        <w:t>hop</w:t>
      </w:r>
      <w:r>
        <w:rPr>
          <w:rStyle w:val="IvDbodytextChar"/>
          <w:rFonts w:eastAsia="Calibri"/>
          <w:color w:val="000000"/>
          <w:szCs w:val="20"/>
        </w:rPr>
        <w:t xml:space="preserve"> (PRB)</w:t>
      </w:r>
      <w:r w:rsidRPr="002E0A7A">
        <w:rPr>
          <w:rStyle w:val="IvDbodytextChar"/>
          <w:rFonts w:eastAsia="Calibri"/>
          <w:color w:val="000000"/>
          <w:szCs w:val="20"/>
        </w:rPr>
        <w:t xml:space="preserve"> is used for PUCCH transmissions when the FH is disabled</w:t>
      </w:r>
      <w:r>
        <w:rPr>
          <w:rStyle w:val="IvDbodytextChar"/>
          <w:rFonts w:eastAsia="Calibri"/>
          <w:color w:val="000000"/>
          <w:szCs w:val="20"/>
        </w:rPr>
        <w:t xml:space="preserve"> for RedCap</w:t>
      </w:r>
      <w:r w:rsidRPr="002E0A7A">
        <w:rPr>
          <w:rStyle w:val="IvDbodytextChar"/>
          <w:rFonts w:eastAsia="Calibri"/>
          <w:color w:val="000000"/>
          <w:szCs w:val="20"/>
        </w:rPr>
        <w:t>.</w:t>
      </w:r>
      <w:r>
        <w:rPr>
          <w:rStyle w:val="IvDbodytextChar"/>
          <w:rFonts w:eastAsia="Calibri"/>
          <w:color w:val="000000"/>
          <w:szCs w:val="20"/>
        </w:rPr>
        <w:t xml:space="preserve"> </w:t>
      </w:r>
      <w:r w:rsidR="00F13B2C">
        <w:rPr>
          <w:rStyle w:val="IvDbodytextChar"/>
          <w:rFonts w:eastAsia="Calibri"/>
          <w:color w:val="000000"/>
          <w:szCs w:val="20"/>
        </w:rPr>
        <w:t>Th</w:t>
      </w:r>
      <w:r w:rsidR="00CC629A">
        <w:rPr>
          <w:rStyle w:val="IvDbodytextChar"/>
          <w:rFonts w:eastAsia="Calibri"/>
          <w:color w:val="000000"/>
          <w:szCs w:val="20"/>
        </w:rPr>
        <w:t xml:space="preserve">is </w:t>
      </w:r>
      <w:r w:rsidR="007B4421">
        <w:rPr>
          <w:rStyle w:val="IvDbodytextChar"/>
          <w:rFonts w:eastAsia="Calibri"/>
          <w:color w:val="000000"/>
          <w:szCs w:val="20"/>
        </w:rPr>
        <w:t>may</w:t>
      </w:r>
      <w:r w:rsidR="00A72839">
        <w:rPr>
          <w:rStyle w:val="IvDbodytextChar"/>
          <w:rFonts w:eastAsia="Calibri"/>
          <w:color w:val="000000"/>
          <w:szCs w:val="20"/>
        </w:rPr>
        <w:t xml:space="preserve"> affect the</w:t>
      </w:r>
      <w:r w:rsidR="00F13B2C">
        <w:rPr>
          <w:rStyle w:val="IvDbodytextChar"/>
          <w:rFonts w:eastAsia="Calibri"/>
          <w:color w:val="000000"/>
          <w:szCs w:val="20"/>
        </w:rPr>
        <w:t xml:space="preserve"> PUCCH resource set </w:t>
      </w:r>
      <w:r w:rsidR="007B4421">
        <w:rPr>
          <w:rStyle w:val="IvDbodytextChar"/>
          <w:rFonts w:eastAsia="Calibri"/>
          <w:color w:val="000000"/>
          <w:szCs w:val="20"/>
        </w:rPr>
        <w:t xml:space="preserve">to be used </w:t>
      </w:r>
      <w:r w:rsidR="00330ECF">
        <w:rPr>
          <w:rStyle w:val="IvDbodytextChar"/>
          <w:rFonts w:eastAsia="Calibri"/>
          <w:color w:val="000000"/>
          <w:szCs w:val="20"/>
        </w:rPr>
        <w:t>for RedC</w:t>
      </w:r>
      <w:r w:rsidR="00A72839">
        <w:rPr>
          <w:rStyle w:val="IvDbodytextChar"/>
          <w:rFonts w:eastAsia="Calibri"/>
          <w:color w:val="000000"/>
          <w:szCs w:val="20"/>
        </w:rPr>
        <w:t>ap.</w:t>
      </w:r>
      <w:bookmarkEnd w:id="15"/>
    </w:p>
    <w:p w14:paraId="52A75F05" w14:textId="0520537B" w:rsidR="00BF4BD5" w:rsidRDefault="00821A3F" w:rsidP="00BF4BD5">
      <w:pPr>
        <w:pStyle w:val="Proposal"/>
        <w:rPr>
          <w:rStyle w:val="IvDbodytextChar"/>
          <w:rFonts w:eastAsia="Calibri"/>
          <w:color w:val="000000"/>
          <w:szCs w:val="20"/>
        </w:rPr>
      </w:pPr>
      <w:bookmarkStart w:id="16" w:name="_Toc87060621"/>
      <w:proofErr w:type="spellStart"/>
      <w:r>
        <w:rPr>
          <w:rStyle w:val="IvDbodytextChar"/>
          <w:rFonts w:eastAsia="Calibri"/>
          <w:color w:val="000000"/>
        </w:rPr>
        <w:t>Atleast</w:t>
      </w:r>
      <w:proofErr w:type="spellEnd"/>
      <w:r>
        <w:rPr>
          <w:rStyle w:val="IvDbodytextChar"/>
          <w:rFonts w:eastAsia="Calibri"/>
          <w:color w:val="000000"/>
        </w:rPr>
        <w:t xml:space="preserve"> t</w:t>
      </w:r>
      <w:r w:rsidR="00A37B00">
        <w:rPr>
          <w:rStyle w:val="IvDbodytextChar"/>
          <w:rFonts w:eastAsia="Calibri"/>
          <w:color w:val="000000"/>
        </w:rPr>
        <w:t xml:space="preserve">he following </w:t>
      </w:r>
      <w:r w:rsidR="00A37B00" w:rsidRPr="00A37B00">
        <w:rPr>
          <w:rStyle w:val="IvDbodytextChar"/>
          <w:rFonts w:eastAsia="Calibri"/>
          <w:color w:val="000000"/>
        </w:rPr>
        <w:t>specification changes</w:t>
      </w:r>
      <w:r w:rsidR="00A37B00">
        <w:rPr>
          <w:rStyle w:val="IvDbodytextChar"/>
          <w:rFonts w:eastAsia="Calibri"/>
          <w:color w:val="000000"/>
        </w:rPr>
        <w:t xml:space="preserve"> are needed to support </w:t>
      </w:r>
      <w:r w:rsidR="00BF4BD5">
        <w:rPr>
          <w:rStyle w:val="IvDbodytextChar"/>
          <w:rFonts w:eastAsia="Calibri"/>
          <w:color w:val="000000"/>
        </w:rPr>
        <w:t>enabling/disabling PUCCH FH for RedCap</w:t>
      </w:r>
      <w:r w:rsidR="00571791">
        <w:rPr>
          <w:rStyle w:val="IvDbodytextChar"/>
          <w:rFonts w:eastAsia="Calibri"/>
          <w:color w:val="000000"/>
        </w:rPr>
        <w:t>:</w:t>
      </w:r>
      <w:bookmarkEnd w:id="16"/>
    </w:p>
    <w:p w14:paraId="3CCB4837" w14:textId="79F5165C" w:rsidR="00A5294D" w:rsidRPr="00BF4BD5" w:rsidRDefault="00A5294D" w:rsidP="001925A8">
      <w:pPr>
        <w:pStyle w:val="Proposal"/>
        <w:numPr>
          <w:ilvl w:val="0"/>
          <w:numId w:val="25"/>
        </w:numPr>
        <w:rPr>
          <w:rStyle w:val="IvDbodytextChar"/>
          <w:rFonts w:eastAsia="Calibri"/>
          <w:color w:val="000000"/>
          <w:szCs w:val="20"/>
        </w:rPr>
      </w:pPr>
      <w:bookmarkStart w:id="17" w:name="_Toc87060622"/>
      <w:r w:rsidRPr="00BF4BD5">
        <w:rPr>
          <w:rStyle w:val="IvDbodytextChar"/>
          <w:rFonts w:eastAsia="Calibri"/>
          <w:color w:val="000000"/>
        </w:rPr>
        <w:t>TS 38.331</w:t>
      </w:r>
      <w:r w:rsidR="00BF4BD5" w:rsidRPr="00BF4BD5">
        <w:rPr>
          <w:rStyle w:val="IvDbodytextChar"/>
          <w:rFonts w:eastAsia="Calibri"/>
          <w:color w:val="000000"/>
        </w:rPr>
        <w:t xml:space="preserve"> (PUCCH-</w:t>
      </w:r>
      <w:proofErr w:type="spellStart"/>
      <w:r w:rsidR="00BF4BD5" w:rsidRPr="00BF4BD5">
        <w:rPr>
          <w:rStyle w:val="IvDbodytextChar"/>
          <w:rFonts w:eastAsia="Calibri"/>
          <w:color w:val="000000"/>
        </w:rPr>
        <w:t>ConfigCommon</w:t>
      </w:r>
      <w:proofErr w:type="spellEnd"/>
      <w:r w:rsidR="00BF4BD5" w:rsidRPr="00BF4BD5">
        <w:rPr>
          <w:rStyle w:val="IvDbodytextChar"/>
          <w:rFonts w:eastAsia="Calibri"/>
          <w:color w:val="000000"/>
        </w:rPr>
        <w:t>)</w:t>
      </w:r>
      <w:r w:rsidRPr="00BF4BD5">
        <w:rPr>
          <w:rStyle w:val="IvDbodytextChar"/>
          <w:rFonts w:eastAsia="Calibri"/>
          <w:color w:val="000000"/>
        </w:rPr>
        <w:t>:</w:t>
      </w:r>
      <w:r w:rsidR="00161ADC" w:rsidRPr="00BF4BD5">
        <w:rPr>
          <w:rStyle w:val="IvDbodytextChar"/>
          <w:rFonts w:eastAsia="Calibri"/>
          <w:color w:val="000000"/>
        </w:rPr>
        <w:t xml:space="preserve"> </w:t>
      </w:r>
      <w:r w:rsidRPr="00BF4BD5">
        <w:rPr>
          <w:rStyle w:val="IvDbodytextChar"/>
          <w:rFonts w:eastAsia="Calibri"/>
          <w:color w:val="000000"/>
        </w:rPr>
        <w:t>For RedCap UEs, a new information element</w:t>
      </w:r>
      <w:r w:rsidR="00FC1358" w:rsidRPr="00BF4BD5">
        <w:rPr>
          <w:rStyle w:val="IvDbodytextChar"/>
          <w:rFonts w:eastAsia="Calibri"/>
          <w:color w:val="000000"/>
        </w:rPr>
        <w:t xml:space="preserve"> </w:t>
      </w:r>
      <w:r w:rsidRPr="00BF4BD5">
        <w:rPr>
          <w:rStyle w:val="IvDbodytextChar"/>
          <w:rFonts w:eastAsia="Calibri"/>
          <w:color w:val="000000"/>
        </w:rPr>
        <w:t>in SIB to indicate whether the PUCCH frequency hopping for RedCap UEs is enabled or disabled.</w:t>
      </w:r>
      <w:bookmarkEnd w:id="17"/>
    </w:p>
    <w:p w14:paraId="61910FBF" w14:textId="1D670D34" w:rsidR="00E12DC8" w:rsidRPr="00BF4BD5" w:rsidRDefault="00E12DC8" w:rsidP="001925A8">
      <w:pPr>
        <w:pStyle w:val="Proposal"/>
        <w:numPr>
          <w:ilvl w:val="0"/>
          <w:numId w:val="25"/>
        </w:numPr>
        <w:rPr>
          <w:rStyle w:val="IvDbodytextChar"/>
          <w:rFonts w:eastAsia="Calibri"/>
          <w:color w:val="000000"/>
        </w:rPr>
      </w:pPr>
      <w:bookmarkStart w:id="18" w:name="_Toc87060623"/>
      <w:r w:rsidRPr="00BF4BD5">
        <w:rPr>
          <w:rStyle w:val="IvDbodytextChar"/>
          <w:rFonts w:eastAsia="Calibri"/>
          <w:color w:val="000000"/>
        </w:rPr>
        <w:t>TS 38.213</w:t>
      </w:r>
      <w:r w:rsidR="00A37B00" w:rsidRPr="00BF4BD5">
        <w:rPr>
          <w:rStyle w:val="IvDbodytextChar"/>
          <w:rFonts w:eastAsia="Calibri"/>
          <w:color w:val="000000"/>
        </w:rPr>
        <w:t xml:space="preserve"> (Section 9.2.1</w:t>
      </w:r>
      <w:r w:rsidR="00B60191">
        <w:rPr>
          <w:rStyle w:val="IvDbodytextChar"/>
          <w:rFonts w:eastAsia="Calibri"/>
          <w:color w:val="000000"/>
        </w:rPr>
        <w:t xml:space="preserve"> </w:t>
      </w:r>
      <w:r w:rsidR="00B60191" w:rsidRPr="00B60191">
        <w:rPr>
          <w:rStyle w:val="IvDbodytextChar"/>
          <w:rFonts w:eastAsia="Calibri"/>
          <w:color w:val="000000"/>
        </w:rPr>
        <w:t>PUCCH Resource Sets</w:t>
      </w:r>
      <w:r w:rsidR="00A37B00" w:rsidRPr="00BF4BD5">
        <w:rPr>
          <w:rStyle w:val="IvDbodytextChar"/>
          <w:rFonts w:eastAsia="Calibri"/>
          <w:color w:val="000000"/>
        </w:rPr>
        <w:t>)</w:t>
      </w:r>
      <w:r w:rsidRPr="00BF4BD5">
        <w:rPr>
          <w:rStyle w:val="IvDbodytextChar"/>
          <w:rFonts w:eastAsia="Calibri"/>
          <w:color w:val="000000"/>
        </w:rPr>
        <w:t xml:space="preserve">: </w:t>
      </w:r>
      <w:r w:rsidR="00161ADC" w:rsidRPr="00BF4BD5">
        <w:rPr>
          <w:rStyle w:val="IvDbodytextChar"/>
          <w:rFonts w:eastAsia="Calibri"/>
          <w:color w:val="000000"/>
        </w:rPr>
        <w:t xml:space="preserve"> </w:t>
      </w:r>
      <w:r w:rsidR="00D60FAC">
        <w:rPr>
          <w:rStyle w:val="IvDbodytextChar"/>
          <w:rFonts w:eastAsia="Calibri"/>
          <w:color w:val="000000"/>
        </w:rPr>
        <w:t>Defining</w:t>
      </w:r>
      <w:r w:rsidR="007D4856">
        <w:rPr>
          <w:rStyle w:val="IvDbodytextChar"/>
          <w:rFonts w:eastAsia="Calibri"/>
          <w:color w:val="000000"/>
        </w:rPr>
        <w:t xml:space="preserve"> </w:t>
      </w:r>
      <w:r w:rsidRPr="00BF4BD5">
        <w:rPr>
          <w:rStyle w:val="IvDbodytextChar"/>
          <w:rFonts w:eastAsia="Calibri"/>
          <w:color w:val="000000"/>
        </w:rPr>
        <w:t xml:space="preserve">PUCCH </w:t>
      </w:r>
      <w:r w:rsidR="00161ADC" w:rsidRPr="00BF4BD5">
        <w:rPr>
          <w:rStyle w:val="IvDbodytextChar"/>
          <w:rFonts w:eastAsia="Calibri"/>
          <w:color w:val="000000"/>
        </w:rPr>
        <w:t>r</w:t>
      </w:r>
      <w:r w:rsidRPr="00BF4BD5">
        <w:rPr>
          <w:rStyle w:val="IvDbodytextChar"/>
          <w:rFonts w:eastAsia="Calibri"/>
          <w:color w:val="000000"/>
        </w:rPr>
        <w:t xml:space="preserve">esource </w:t>
      </w:r>
      <w:r w:rsidR="00D60FAC" w:rsidRPr="00BF4BD5">
        <w:rPr>
          <w:rStyle w:val="IvDbodytextChar"/>
          <w:rFonts w:eastAsia="Calibri"/>
          <w:color w:val="000000"/>
        </w:rPr>
        <w:t>sets</w:t>
      </w:r>
      <w:r w:rsidR="00D60FAC">
        <w:rPr>
          <w:rStyle w:val="IvDbodytextChar"/>
          <w:rFonts w:eastAsia="Calibri"/>
          <w:color w:val="000000"/>
        </w:rPr>
        <w:t xml:space="preserve"> </w:t>
      </w:r>
      <w:r w:rsidR="00D60FAC" w:rsidRPr="00BF4BD5">
        <w:rPr>
          <w:rStyle w:val="IvDbodytextChar"/>
          <w:rFonts w:eastAsia="Calibri"/>
          <w:color w:val="000000"/>
        </w:rPr>
        <w:t>for</w:t>
      </w:r>
      <w:r w:rsidR="00161ADC" w:rsidRPr="00BF4BD5">
        <w:rPr>
          <w:rStyle w:val="IvDbodytextChar"/>
          <w:rFonts w:eastAsia="Calibri"/>
          <w:color w:val="000000"/>
        </w:rPr>
        <w:t xml:space="preserve"> RedCap considering the possibility of disabling PUCCH FH before</w:t>
      </w:r>
      <w:r w:rsidR="005D60BC" w:rsidRPr="00BF4BD5">
        <w:rPr>
          <w:rStyle w:val="IvDbodytextChar"/>
          <w:rFonts w:eastAsia="Calibri"/>
          <w:color w:val="000000"/>
        </w:rPr>
        <w:t xml:space="preserve"> a</w:t>
      </w:r>
      <w:r w:rsidR="00161ADC" w:rsidRPr="00BF4BD5">
        <w:rPr>
          <w:rStyle w:val="IvDbodytextChar"/>
          <w:rFonts w:eastAsia="Calibri"/>
          <w:color w:val="000000"/>
        </w:rPr>
        <w:t xml:space="preserve"> </w:t>
      </w:r>
      <w:r w:rsidR="005D60BC" w:rsidRPr="00BF4BD5">
        <w:rPr>
          <w:rStyle w:val="IvDbodytextChar"/>
          <w:rFonts w:eastAsia="Calibri"/>
          <w:color w:val="000000"/>
        </w:rPr>
        <w:t>dedicated PUCCH resource configuration.</w:t>
      </w:r>
      <w:bookmarkEnd w:id="18"/>
    </w:p>
    <w:p w14:paraId="032225EF" w14:textId="77777777" w:rsidR="00E12DC8" w:rsidRDefault="00E12DC8" w:rsidP="00E12DC8">
      <w:pPr>
        <w:pStyle w:val="ArialText"/>
        <w:rPr>
          <w:szCs w:val="20"/>
        </w:rPr>
      </w:pPr>
    </w:p>
    <w:p w14:paraId="5015F73F" w14:textId="7EB358AD" w:rsidR="00E12DC8" w:rsidRDefault="00062FC6" w:rsidP="00321CC6">
      <w:pPr>
        <w:pStyle w:val="Heading3"/>
      </w:pPr>
      <w:r>
        <w:t>2.2.2</w:t>
      </w:r>
      <w:r>
        <w:tab/>
        <w:t>PUCCH multiplexing aspect</w:t>
      </w:r>
    </w:p>
    <w:p w14:paraId="75BB1948" w14:textId="1C8863B0" w:rsidR="00E12DC8" w:rsidRDefault="00E12DC8" w:rsidP="00E12DC8">
      <w:pPr>
        <w:pStyle w:val="ArialText"/>
        <w:rPr>
          <w:szCs w:val="20"/>
        </w:rPr>
      </w:pPr>
      <w:r>
        <w:rPr>
          <w:szCs w:val="20"/>
        </w:rPr>
        <w:t xml:space="preserve">Another FFS indicated in </w:t>
      </w:r>
      <w:r w:rsidRPr="004020BD">
        <w:rPr>
          <w:szCs w:val="20"/>
        </w:rPr>
        <w:t>RAN1#10</w:t>
      </w:r>
      <w:r>
        <w:rPr>
          <w:szCs w:val="20"/>
        </w:rPr>
        <w:t>6bis</w:t>
      </w:r>
      <w:r w:rsidRPr="004020BD">
        <w:rPr>
          <w:szCs w:val="20"/>
        </w:rPr>
        <w:t>-e</w:t>
      </w:r>
      <w:r>
        <w:rPr>
          <w:szCs w:val="20"/>
        </w:rPr>
        <w:t xml:space="preserve"> is to identify whether </w:t>
      </w:r>
      <w:r w:rsidRPr="00305569">
        <w:rPr>
          <w:szCs w:val="20"/>
        </w:rPr>
        <w:t xml:space="preserve">any specification changes are </w:t>
      </w:r>
      <w:proofErr w:type="gramStart"/>
      <w:r w:rsidRPr="00305569">
        <w:rPr>
          <w:szCs w:val="20"/>
        </w:rPr>
        <w:t>needed</w:t>
      </w:r>
      <w:r>
        <w:rPr>
          <w:szCs w:val="20"/>
        </w:rPr>
        <w:t xml:space="preserve">  to</w:t>
      </w:r>
      <w:proofErr w:type="gramEnd"/>
      <w:r>
        <w:rPr>
          <w:szCs w:val="20"/>
        </w:rPr>
        <w:t xml:space="preserve"> s</w:t>
      </w:r>
      <w:r w:rsidRPr="00007EFA">
        <w:rPr>
          <w:szCs w:val="20"/>
        </w:rPr>
        <w:t>upport multiplexing of non-FH and FH PUCCH transmissions in PUCCH resources</w:t>
      </w:r>
      <w:r>
        <w:rPr>
          <w:szCs w:val="20"/>
        </w:rPr>
        <w:t xml:space="preserve">. </w:t>
      </w:r>
    </w:p>
    <w:p w14:paraId="376527C9" w14:textId="107AD05D" w:rsidR="00606DFC" w:rsidRDefault="006D6207" w:rsidP="00F85025">
      <w:pPr>
        <w:pStyle w:val="ArialText"/>
        <w:rPr>
          <w:szCs w:val="20"/>
        </w:rPr>
      </w:pPr>
      <w:r>
        <w:rPr>
          <w:szCs w:val="20"/>
        </w:rPr>
        <w:t>Before</w:t>
      </w:r>
      <w:r w:rsidR="00B4759E">
        <w:rPr>
          <w:szCs w:val="20"/>
        </w:rPr>
        <w:t xml:space="preserve"> a</w:t>
      </w:r>
      <w:r>
        <w:rPr>
          <w:szCs w:val="20"/>
        </w:rPr>
        <w:t xml:space="preserve"> dedicated PUCCH configuration, </w:t>
      </w:r>
      <w:r w:rsidR="00B4759E">
        <w:rPr>
          <w:szCs w:val="20"/>
        </w:rPr>
        <w:t xml:space="preserve">only PUCCH Format 0 and Format 1 are used. </w:t>
      </w:r>
      <w:r w:rsidR="00716BA9">
        <w:rPr>
          <w:szCs w:val="20"/>
        </w:rPr>
        <w:t xml:space="preserve">The </w:t>
      </w:r>
      <w:r w:rsidR="00B4759E">
        <w:rPr>
          <w:szCs w:val="20"/>
        </w:rPr>
        <w:t>multiplexing of different UEs</w:t>
      </w:r>
      <w:r w:rsidR="00716BA9">
        <w:rPr>
          <w:szCs w:val="20"/>
        </w:rPr>
        <w:t xml:space="preserve"> for PUCCH transmission can be done by </w:t>
      </w:r>
      <w:r w:rsidR="003615F3">
        <w:rPr>
          <w:szCs w:val="20"/>
        </w:rPr>
        <w:t xml:space="preserve">using </w:t>
      </w:r>
      <w:r w:rsidR="00716BA9">
        <w:rPr>
          <w:szCs w:val="20"/>
        </w:rPr>
        <w:t xml:space="preserve">different time symbols, PRBs, and different </w:t>
      </w:r>
      <w:r w:rsidR="00494AA8">
        <w:rPr>
          <w:szCs w:val="20"/>
        </w:rPr>
        <w:t>cyclic shifts (CS)</w:t>
      </w:r>
      <w:r w:rsidR="00EC1F01">
        <w:rPr>
          <w:szCs w:val="20"/>
        </w:rPr>
        <w:t xml:space="preserve"> in time domain or equivalently </w:t>
      </w:r>
      <w:r w:rsidR="00162B6F">
        <w:rPr>
          <w:szCs w:val="20"/>
        </w:rPr>
        <w:t>phase rotation in the frequency domain</w:t>
      </w:r>
      <w:r w:rsidR="003615F3">
        <w:rPr>
          <w:szCs w:val="20"/>
        </w:rPr>
        <w:t xml:space="preserve">. Moreover, for Format 1, </w:t>
      </w:r>
      <w:r w:rsidR="003615F3" w:rsidRPr="003615F3">
        <w:rPr>
          <w:szCs w:val="20"/>
        </w:rPr>
        <w:t xml:space="preserve">the orthogonal </w:t>
      </w:r>
      <w:r w:rsidR="00162B6F">
        <w:rPr>
          <w:szCs w:val="20"/>
        </w:rPr>
        <w:t xml:space="preserve">code </w:t>
      </w:r>
      <w:r w:rsidR="003615F3" w:rsidRPr="003615F3">
        <w:rPr>
          <w:szCs w:val="20"/>
        </w:rPr>
        <w:t>code</w:t>
      </w:r>
      <w:r w:rsidR="00162B6F">
        <w:rPr>
          <w:szCs w:val="20"/>
        </w:rPr>
        <w:t>s (O</w:t>
      </w:r>
      <w:r w:rsidR="00B7639F">
        <w:rPr>
          <w:szCs w:val="20"/>
        </w:rPr>
        <w:t>CC</w:t>
      </w:r>
      <w:r w:rsidR="00162B6F">
        <w:rPr>
          <w:szCs w:val="20"/>
        </w:rPr>
        <w:t>)</w:t>
      </w:r>
      <w:r w:rsidR="003615F3" w:rsidRPr="003615F3">
        <w:rPr>
          <w:szCs w:val="20"/>
        </w:rPr>
        <w:t xml:space="preserve"> in the time domain </w:t>
      </w:r>
      <w:r w:rsidR="00B7639F">
        <w:rPr>
          <w:szCs w:val="20"/>
        </w:rPr>
        <w:t xml:space="preserve">to further </w:t>
      </w:r>
      <w:r w:rsidR="003615F3" w:rsidRPr="003615F3">
        <w:rPr>
          <w:szCs w:val="20"/>
        </w:rPr>
        <w:t>increase</w:t>
      </w:r>
      <w:r w:rsidR="00F85025">
        <w:rPr>
          <w:szCs w:val="20"/>
        </w:rPr>
        <w:t xml:space="preserve"> </w:t>
      </w:r>
      <w:r w:rsidR="003615F3" w:rsidRPr="003615F3">
        <w:rPr>
          <w:szCs w:val="20"/>
        </w:rPr>
        <w:t xml:space="preserve">the multiplexing capacity </w:t>
      </w:r>
      <w:r w:rsidR="00B7639F">
        <w:rPr>
          <w:szCs w:val="20"/>
        </w:rPr>
        <w:t>by allowing</w:t>
      </w:r>
      <w:r w:rsidR="003615F3" w:rsidRPr="003615F3">
        <w:rPr>
          <w:szCs w:val="20"/>
        </w:rPr>
        <w:t xml:space="preserve"> multiple </w:t>
      </w:r>
      <w:r w:rsidR="00B7639F">
        <w:rPr>
          <w:szCs w:val="20"/>
        </w:rPr>
        <w:t>UEs</w:t>
      </w:r>
      <w:r w:rsidR="003615F3" w:rsidRPr="003615F3">
        <w:rPr>
          <w:szCs w:val="20"/>
        </w:rPr>
        <w:t xml:space="preserve"> having the same base sequence and phase</w:t>
      </w:r>
      <w:r w:rsidR="00F85025">
        <w:rPr>
          <w:szCs w:val="20"/>
        </w:rPr>
        <w:t xml:space="preserve"> </w:t>
      </w:r>
      <w:r w:rsidR="003615F3" w:rsidRPr="003615F3">
        <w:rPr>
          <w:szCs w:val="20"/>
        </w:rPr>
        <w:t>rotation be separated using different orthogonal codes.</w:t>
      </w:r>
      <w:r w:rsidR="00B7639F">
        <w:rPr>
          <w:szCs w:val="20"/>
        </w:rPr>
        <w:t xml:space="preserve"> </w:t>
      </w:r>
    </w:p>
    <w:p w14:paraId="1E3F266F" w14:textId="4AF69357" w:rsidR="00861DE9" w:rsidRDefault="00861DE9" w:rsidP="00861DE9">
      <w:pPr>
        <w:rPr>
          <w:lang w:eastAsia="zh-CN"/>
        </w:rPr>
      </w:pPr>
      <w:r>
        <w:rPr>
          <w:rFonts w:eastAsia="Yu Mincho"/>
          <w:lang w:eastAsia="ja-JP"/>
        </w:rPr>
        <w:t xml:space="preserve">According to TS 38.213, “An orthogonal cover code with index 0 is used for a PUCCH resource with PUCCH format 1 in Table 9.2.1-1”. The Table 9.2.1-1 in TS 38.213 corresponds to the PUCCH resource sets before dedicated PUCCH resource configuration (e.g., for Msg4 HARQ feedback). The OCC table </w:t>
      </w:r>
      <w:r>
        <w:rPr>
          <w:lang w:eastAsia="zh-CN"/>
        </w:rPr>
        <w:t>from TS 38.211 is copied below.</w:t>
      </w:r>
    </w:p>
    <w:p w14:paraId="77B243CB" w14:textId="4D5577DC" w:rsidR="00861DE9" w:rsidRPr="004E4A74" w:rsidRDefault="00861DE9" w:rsidP="00861DE9">
      <w:pPr>
        <w:pStyle w:val="TH"/>
        <w:rPr>
          <w:szCs w:val="20"/>
        </w:rPr>
      </w:pPr>
      <w:r w:rsidRPr="004E4A74">
        <w:rPr>
          <w:szCs w:val="20"/>
        </w:rPr>
        <w:t xml:space="preserve">Table 6.3.2.4.1-2: Orthogonal sequences </w:t>
      </w:r>
      <w:r w:rsidRPr="004E4A74">
        <w:rPr>
          <w:position w:val="-12"/>
          <w:szCs w:val="20"/>
        </w:rPr>
        <w:object w:dxaOrig="2151" w:dyaOrig="428" w14:anchorId="32ECF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8pt;height:21.75pt" o:ole="">
            <v:imagedata r:id="rId14" o:title=""/>
          </v:shape>
          <o:OLEObject Type="Embed" ProgID="Equation.DSMT4" ShapeID="_x0000_i1025" DrawAspect="Content" ObjectID="_1697673485" r:id="rId15"/>
        </w:object>
      </w:r>
      <w:r w:rsidRPr="004E4A74">
        <w:rPr>
          <w:szCs w:val="20"/>
        </w:rPr>
        <w:t xml:space="preserve"> for PUCCH </w:t>
      </w:r>
      <w:r w:rsidR="00FF095F" w:rsidRPr="004E4A74">
        <w:rPr>
          <w:szCs w:val="20"/>
          <w:lang w:val="en-US"/>
        </w:rPr>
        <w:t>F</w:t>
      </w:r>
      <w:r w:rsidRPr="004E4A74">
        <w:rPr>
          <w:szCs w:val="20"/>
        </w:rPr>
        <w:t xml:space="preserve">ormat 1. </w:t>
      </w:r>
    </w:p>
    <w:tbl>
      <w:tblPr>
        <w:tblW w:w="7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2"/>
        <w:gridCol w:w="903"/>
        <w:gridCol w:w="920"/>
        <w:gridCol w:w="949"/>
        <w:gridCol w:w="906"/>
        <w:gridCol w:w="907"/>
        <w:gridCol w:w="907"/>
        <w:gridCol w:w="907"/>
      </w:tblGrid>
      <w:tr w:rsidR="00861DE9" w:rsidRPr="00FF095F" w14:paraId="76E3BD0E" w14:textId="77777777" w:rsidTr="00FF095F">
        <w:trPr>
          <w:jc w:val="center"/>
        </w:trPr>
        <w:tc>
          <w:tcPr>
            <w:tcW w:w="918" w:type="dxa"/>
            <w:vMerge w:val="restart"/>
            <w:shd w:val="clear" w:color="auto" w:fill="auto"/>
            <w:tcMar>
              <w:left w:w="57" w:type="dxa"/>
              <w:right w:w="57" w:type="dxa"/>
            </w:tcMar>
          </w:tcPr>
          <w:p w14:paraId="0CDFA9ED" w14:textId="77777777" w:rsidR="00861DE9" w:rsidRPr="00FF095F" w:rsidRDefault="00861DE9" w:rsidP="004204CE">
            <w:pPr>
              <w:pStyle w:val="TAH"/>
              <w:rPr>
                <w:sz w:val="12"/>
                <w:szCs w:val="14"/>
              </w:rPr>
            </w:pPr>
            <w:r w:rsidRPr="00FF095F">
              <w:rPr>
                <w:sz w:val="12"/>
                <w:szCs w:val="14"/>
              </w:rPr>
              <w:object w:dxaOrig="811" w:dyaOrig="374" w14:anchorId="4741776D">
                <v:shape id="_x0000_i1026" type="#_x0000_t75" style="width:40.5pt;height:18.75pt" o:ole="">
                  <v:imagedata r:id="rId16" o:title=""/>
                </v:shape>
                <o:OLEObject Type="Embed" ProgID="Equation.3" ShapeID="_x0000_i1026" DrawAspect="Content" ObjectID="_1697673486" r:id="rId17"/>
              </w:object>
            </w:r>
          </w:p>
        </w:tc>
        <w:tc>
          <w:tcPr>
            <w:tcW w:w="6413" w:type="dxa"/>
            <w:gridSpan w:val="7"/>
            <w:tcBorders>
              <w:bottom w:val="nil"/>
            </w:tcBorders>
            <w:shd w:val="clear" w:color="auto" w:fill="auto"/>
            <w:tcMar>
              <w:left w:w="57" w:type="dxa"/>
              <w:right w:w="57" w:type="dxa"/>
            </w:tcMar>
          </w:tcPr>
          <w:p w14:paraId="7B86A137" w14:textId="77777777" w:rsidR="00861DE9" w:rsidRPr="00FF095F" w:rsidRDefault="00861DE9" w:rsidP="004204CE">
            <w:pPr>
              <w:pStyle w:val="TAH"/>
              <w:rPr>
                <w:sz w:val="12"/>
                <w:szCs w:val="14"/>
              </w:rPr>
            </w:pPr>
            <w:r w:rsidRPr="00FF095F">
              <w:rPr>
                <w:position w:val="-10"/>
                <w:sz w:val="12"/>
                <w:szCs w:val="14"/>
              </w:rPr>
              <w:object w:dxaOrig="219" w:dyaOrig="264" w14:anchorId="358F6A5D">
                <v:shape id="_x0000_i1027" type="#_x0000_t75" style="width:11.25pt;height:12.75pt" o:ole="">
                  <v:imagedata r:id="rId18" o:title=""/>
                </v:shape>
                <o:OLEObject Type="Embed" ProgID="Equation.3" ShapeID="_x0000_i1027" DrawAspect="Content" ObjectID="_1697673487" r:id="rId19"/>
              </w:object>
            </w:r>
          </w:p>
        </w:tc>
      </w:tr>
      <w:tr w:rsidR="00861DE9" w:rsidRPr="00FF095F" w14:paraId="2340476F" w14:textId="77777777" w:rsidTr="00FF095F">
        <w:trPr>
          <w:jc w:val="center"/>
        </w:trPr>
        <w:tc>
          <w:tcPr>
            <w:tcW w:w="918" w:type="dxa"/>
            <w:vMerge/>
            <w:shd w:val="clear" w:color="auto" w:fill="auto"/>
            <w:tcMar>
              <w:left w:w="57" w:type="dxa"/>
              <w:right w:w="57" w:type="dxa"/>
            </w:tcMar>
          </w:tcPr>
          <w:p w14:paraId="19D8A884" w14:textId="77777777" w:rsidR="00861DE9" w:rsidRPr="00FF095F" w:rsidRDefault="00861DE9" w:rsidP="004204CE">
            <w:pPr>
              <w:pStyle w:val="TAH"/>
              <w:rPr>
                <w:sz w:val="12"/>
                <w:szCs w:val="14"/>
              </w:rPr>
            </w:pPr>
          </w:p>
        </w:tc>
        <w:tc>
          <w:tcPr>
            <w:tcW w:w="905" w:type="dxa"/>
            <w:tcBorders>
              <w:top w:val="nil"/>
            </w:tcBorders>
            <w:shd w:val="clear" w:color="auto" w:fill="auto"/>
            <w:tcMar>
              <w:left w:w="57" w:type="dxa"/>
              <w:right w:w="57" w:type="dxa"/>
            </w:tcMar>
          </w:tcPr>
          <w:p w14:paraId="27C58F1F" w14:textId="77777777" w:rsidR="00861DE9" w:rsidRPr="00FF095F" w:rsidRDefault="00861DE9" w:rsidP="004204CE">
            <w:pPr>
              <w:pStyle w:val="TAH"/>
              <w:rPr>
                <w:sz w:val="12"/>
                <w:szCs w:val="14"/>
              </w:rPr>
            </w:pPr>
            <w:r w:rsidRPr="00FF095F">
              <w:rPr>
                <w:position w:val="-6"/>
                <w:sz w:val="12"/>
                <w:szCs w:val="14"/>
              </w:rPr>
              <w:object w:dxaOrig="419" w:dyaOrig="264" w14:anchorId="59F03C7D">
                <v:shape id="_x0000_i1028" type="#_x0000_t75" style="width:21pt;height:12.75pt" o:ole="">
                  <v:imagedata r:id="rId20" o:title=""/>
                </v:shape>
                <o:OLEObject Type="Embed" ProgID="Equation.3" ShapeID="_x0000_i1028" DrawAspect="Content" ObjectID="_1697673488" r:id="rId21"/>
              </w:object>
            </w:r>
          </w:p>
        </w:tc>
        <w:tc>
          <w:tcPr>
            <w:tcW w:w="922" w:type="dxa"/>
            <w:tcBorders>
              <w:top w:val="nil"/>
            </w:tcBorders>
            <w:shd w:val="clear" w:color="auto" w:fill="auto"/>
            <w:tcMar>
              <w:left w:w="57" w:type="dxa"/>
              <w:right w:w="57" w:type="dxa"/>
            </w:tcMar>
          </w:tcPr>
          <w:p w14:paraId="61105075" w14:textId="77777777" w:rsidR="00861DE9" w:rsidRPr="00FF095F" w:rsidRDefault="00861DE9" w:rsidP="004204CE">
            <w:pPr>
              <w:pStyle w:val="TAH"/>
              <w:rPr>
                <w:sz w:val="12"/>
                <w:szCs w:val="14"/>
              </w:rPr>
            </w:pPr>
            <w:r w:rsidRPr="00FF095F">
              <w:rPr>
                <w:position w:val="-6"/>
                <w:sz w:val="12"/>
                <w:szCs w:val="14"/>
              </w:rPr>
              <w:object w:dxaOrig="392" w:dyaOrig="264" w14:anchorId="704D64EB">
                <v:shape id="_x0000_i1029" type="#_x0000_t75" style="width:19.5pt;height:12.75pt" o:ole="">
                  <v:imagedata r:id="rId22" o:title=""/>
                </v:shape>
                <o:OLEObject Type="Embed" ProgID="Equation.3" ShapeID="_x0000_i1029" DrawAspect="Content" ObjectID="_1697673489" r:id="rId23"/>
              </w:object>
            </w:r>
          </w:p>
        </w:tc>
        <w:tc>
          <w:tcPr>
            <w:tcW w:w="951" w:type="dxa"/>
            <w:tcBorders>
              <w:top w:val="nil"/>
            </w:tcBorders>
            <w:shd w:val="clear" w:color="auto" w:fill="auto"/>
            <w:tcMar>
              <w:left w:w="57" w:type="dxa"/>
              <w:right w:w="57" w:type="dxa"/>
            </w:tcMar>
          </w:tcPr>
          <w:p w14:paraId="49EB7B2F" w14:textId="77777777" w:rsidR="00861DE9" w:rsidRPr="00FF095F" w:rsidRDefault="00861DE9" w:rsidP="004204CE">
            <w:pPr>
              <w:pStyle w:val="TAH"/>
              <w:rPr>
                <w:sz w:val="12"/>
                <w:szCs w:val="14"/>
              </w:rPr>
            </w:pPr>
            <w:r w:rsidRPr="00FF095F">
              <w:rPr>
                <w:position w:val="-6"/>
                <w:sz w:val="12"/>
                <w:szCs w:val="14"/>
              </w:rPr>
              <w:object w:dxaOrig="419" w:dyaOrig="264" w14:anchorId="64257F95">
                <v:shape id="_x0000_i1030" type="#_x0000_t75" style="width:21pt;height:12.75pt" o:ole="">
                  <v:imagedata r:id="rId24" o:title=""/>
                </v:shape>
                <o:OLEObject Type="Embed" ProgID="Equation.3" ShapeID="_x0000_i1030" DrawAspect="Content" ObjectID="_1697673490" r:id="rId25"/>
              </w:object>
            </w:r>
          </w:p>
        </w:tc>
        <w:tc>
          <w:tcPr>
            <w:tcW w:w="908" w:type="dxa"/>
            <w:tcBorders>
              <w:top w:val="nil"/>
            </w:tcBorders>
            <w:shd w:val="clear" w:color="auto" w:fill="auto"/>
            <w:tcMar>
              <w:left w:w="57" w:type="dxa"/>
              <w:right w:w="57" w:type="dxa"/>
            </w:tcMar>
          </w:tcPr>
          <w:p w14:paraId="69E19C61" w14:textId="77777777" w:rsidR="00861DE9" w:rsidRPr="00FF095F" w:rsidRDefault="00861DE9" w:rsidP="004204CE">
            <w:pPr>
              <w:pStyle w:val="TAH"/>
              <w:rPr>
                <w:sz w:val="12"/>
                <w:szCs w:val="14"/>
              </w:rPr>
            </w:pPr>
            <w:r w:rsidRPr="00FF095F">
              <w:rPr>
                <w:position w:val="-6"/>
                <w:sz w:val="12"/>
                <w:szCs w:val="14"/>
              </w:rPr>
              <w:object w:dxaOrig="419" w:dyaOrig="264" w14:anchorId="0D9C6CD8">
                <v:shape id="_x0000_i1031" type="#_x0000_t75" style="width:21pt;height:12.75pt" o:ole="">
                  <v:imagedata r:id="rId26" o:title=""/>
                </v:shape>
                <o:OLEObject Type="Embed" ProgID="Equation.3" ShapeID="_x0000_i1031" DrawAspect="Content" ObjectID="_1697673491" r:id="rId27"/>
              </w:object>
            </w:r>
          </w:p>
        </w:tc>
        <w:tc>
          <w:tcPr>
            <w:tcW w:w="909" w:type="dxa"/>
            <w:tcBorders>
              <w:top w:val="nil"/>
            </w:tcBorders>
            <w:shd w:val="clear" w:color="auto" w:fill="auto"/>
            <w:tcMar>
              <w:left w:w="57" w:type="dxa"/>
              <w:right w:w="57" w:type="dxa"/>
            </w:tcMar>
          </w:tcPr>
          <w:p w14:paraId="0F391B12" w14:textId="77777777" w:rsidR="00861DE9" w:rsidRPr="00FF095F" w:rsidRDefault="00861DE9" w:rsidP="004204CE">
            <w:pPr>
              <w:pStyle w:val="TAH"/>
              <w:rPr>
                <w:sz w:val="12"/>
                <w:szCs w:val="14"/>
              </w:rPr>
            </w:pPr>
            <w:r w:rsidRPr="00FF095F">
              <w:rPr>
                <w:position w:val="-6"/>
                <w:sz w:val="12"/>
                <w:szCs w:val="14"/>
              </w:rPr>
              <w:object w:dxaOrig="419" w:dyaOrig="264" w14:anchorId="45085BA8">
                <v:shape id="_x0000_i1032" type="#_x0000_t75" style="width:21pt;height:12.75pt" o:ole="">
                  <v:imagedata r:id="rId28" o:title=""/>
                </v:shape>
                <o:OLEObject Type="Embed" ProgID="Equation.3" ShapeID="_x0000_i1032" DrawAspect="Content" ObjectID="_1697673492" r:id="rId29"/>
              </w:object>
            </w:r>
          </w:p>
        </w:tc>
        <w:tc>
          <w:tcPr>
            <w:tcW w:w="909" w:type="dxa"/>
            <w:tcBorders>
              <w:top w:val="nil"/>
            </w:tcBorders>
            <w:shd w:val="clear" w:color="auto" w:fill="auto"/>
            <w:tcMar>
              <w:left w:w="57" w:type="dxa"/>
              <w:right w:w="57" w:type="dxa"/>
            </w:tcMar>
          </w:tcPr>
          <w:p w14:paraId="1CD02F3F" w14:textId="77777777" w:rsidR="00861DE9" w:rsidRPr="00FF095F" w:rsidRDefault="00861DE9" w:rsidP="004204CE">
            <w:pPr>
              <w:pStyle w:val="TAH"/>
              <w:rPr>
                <w:sz w:val="12"/>
                <w:szCs w:val="14"/>
              </w:rPr>
            </w:pPr>
            <w:r w:rsidRPr="00FF095F">
              <w:rPr>
                <w:position w:val="-6"/>
                <w:sz w:val="12"/>
                <w:szCs w:val="14"/>
              </w:rPr>
              <w:object w:dxaOrig="419" w:dyaOrig="264" w14:anchorId="6CB116EB">
                <v:shape id="_x0000_i1033" type="#_x0000_t75" style="width:21pt;height:12.75pt" o:ole="">
                  <v:imagedata r:id="rId30" o:title=""/>
                </v:shape>
                <o:OLEObject Type="Embed" ProgID="Equation.3" ShapeID="_x0000_i1033" DrawAspect="Content" ObjectID="_1697673493" r:id="rId31"/>
              </w:object>
            </w:r>
          </w:p>
        </w:tc>
        <w:tc>
          <w:tcPr>
            <w:tcW w:w="909" w:type="dxa"/>
            <w:tcBorders>
              <w:top w:val="nil"/>
            </w:tcBorders>
            <w:shd w:val="clear" w:color="auto" w:fill="auto"/>
            <w:tcMar>
              <w:left w:w="57" w:type="dxa"/>
              <w:right w:w="57" w:type="dxa"/>
            </w:tcMar>
          </w:tcPr>
          <w:p w14:paraId="79B15614" w14:textId="77777777" w:rsidR="00861DE9" w:rsidRPr="00FF095F" w:rsidRDefault="00861DE9" w:rsidP="004204CE">
            <w:pPr>
              <w:pStyle w:val="TAH"/>
              <w:rPr>
                <w:sz w:val="12"/>
                <w:szCs w:val="14"/>
              </w:rPr>
            </w:pPr>
            <w:r w:rsidRPr="00FF095F">
              <w:rPr>
                <w:position w:val="-6"/>
                <w:sz w:val="12"/>
                <w:szCs w:val="14"/>
              </w:rPr>
              <w:object w:dxaOrig="419" w:dyaOrig="264" w14:anchorId="60C91BDF">
                <v:shape id="_x0000_i1034" type="#_x0000_t75" style="width:21pt;height:12.75pt" o:ole="">
                  <v:imagedata r:id="rId32" o:title=""/>
                </v:shape>
                <o:OLEObject Type="Embed" ProgID="Equation.3" ShapeID="_x0000_i1034" DrawAspect="Content" ObjectID="_1697673494" r:id="rId33"/>
              </w:object>
            </w:r>
          </w:p>
        </w:tc>
      </w:tr>
      <w:tr w:rsidR="00861DE9" w:rsidRPr="00FF095F" w14:paraId="5EE496B7" w14:textId="77777777" w:rsidTr="00FF095F">
        <w:trPr>
          <w:jc w:val="center"/>
        </w:trPr>
        <w:tc>
          <w:tcPr>
            <w:tcW w:w="918" w:type="dxa"/>
            <w:shd w:val="clear" w:color="auto" w:fill="auto"/>
            <w:tcMar>
              <w:top w:w="28" w:type="dxa"/>
              <w:left w:w="57" w:type="dxa"/>
              <w:bottom w:w="28" w:type="dxa"/>
              <w:right w:w="57" w:type="dxa"/>
            </w:tcMar>
          </w:tcPr>
          <w:p w14:paraId="74014510" w14:textId="77777777" w:rsidR="00861DE9" w:rsidRPr="00FF095F" w:rsidRDefault="00861DE9" w:rsidP="004204CE">
            <w:pPr>
              <w:pStyle w:val="TAC"/>
              <w:rPr>
                <w:sz w:val="12"/>
                <w:szCs w:val="14"/>
              </w:rPr>
            </w:pPr>
            <w:r w:rsidRPr="00FF095F">
              <w:rPr>
                <w:sz w:val="12"/>
                <w:szCs w:val="14"/>
              </w:rPr>
              <w:t>1</w:t>
            </w:r>
          </w:p>
        </w:tc>
        <w:tc>
          <w:tcPr>
            <w:tcW w:w="905" w:type="dxa"/>
            <w:shd w:val="clear" w:color="auto" w:fill="auto"/>
            <w:tcMar>
              <w:top w:w="28" w:type="dxa"/>
              <w:left w:w="57" w:type="dxa"/>
              <w:bottom w:w="28" w:type="dxa"/>
              <w:right w:w="57" w:type="dxa"/>
            </w:tcMar>
          </w:tcPr>
          <w:p w14:paraId="6FC36B8C" w14:textId="77777777" w:rsidR="00861DE9" w:rsidRPr="00FF095F" w:rsidRDefault="00861DE9" w:rsidP="004204CE">
            <w:pPr>
              <w:pStyle w:val="TAL"/>
              <w:rPr>
                <w:sz w:val="12"/>
                <w:szCs w:val="14"/>
              </w:rPr>
            </w:pPr>
            <w:r w:rsidRPr="00FF095F">
              <w:rPr>
                <w:sz w:val="12"/>
                <w:szCs w:val="14"/>
              </w:rPr>
              <w:t>[0]</w:t>
            </w:r>
          </w:p>
        </w:tc>
        <w:tc>
          <w:tcPr>
            <w:tcW w:w="922" w:type="dxa"/>
            <w:shd w:val="clear" w:color="auto" w:fill="auto"/>
            <w:tcMar>
              <w:top w:w="28" w:type="dxa"/>
              <w:left w:w="57" w:type="dxa"/>
              <w:bottom w:w="28" w:type="dxa"/>
              <w:right w:w="57" w:type="dxa"/>
            </w:tcMar>
          </w:tcPr>
          <w:p w14:paraId="3701DA10" w14:textId="77777777" w:rsidR="00861DE9" w:rsidRPr="00FF095F" w:rsidRDefault="00861DE9" w:rsidP="004204CE">
            <w:pPr>
              <w:pStyle w:val="TAL"/>
              <w:rPr>
                <w:sz w:val="12"/>
                <w:szCs w:val="14"/>
              </w:rPr>
            </w:pPr>
            <w:r w:rsidRPr="00FF095F">
              <w:rPr>
                <w:sz w:val="12"/>
                <w:szCs w:val="14"/>
              </w:rPr>
              <w:t>-</w:t>
            </w:r>
          </w:p>
        </w:tc>
        <w:tc>
          <w:tcPr>
            <w:tcW w:w="951" w:type="dxa"/>
            <w:shd w:val="clear" w:color="auto" w:fill="auto"/>
            <w:tcMar>
              <w:top w:w="28" w:type="dxa"/>
              <w:left w:w="57" w:type="dxa"/>
              <w:bottom w:w="28" w:type="dxa"/>
              <w:right w:w="57" w:type="dxa"/>
            </w:tcMar>
          </w:tcPr>
          <w:p w14:paraId="5D17698F" w14:textId="77777777" w:rsidR="00861DE9" w:rsidRPr="00FF095F" w:rsidRDefault="00861DE9" w:rsidP="004204CE">
            <w:pPr>
              <w:pStyle w:val="TAL"/>
              <w:rPr>
                <w:sz w:val="12"/>
                <w:szCs w:val="14"/>
              </w:rPr>
            </w:pPr>
            <w:r w:rsidRPr="00FF095F">
              <w:rPr>
                <w:sz w:val="12"/>
                <w:szCs w:val="14"/>
              </w:rPr>
              <w:t>-</w:t>
            </w:r>
          </w:p>
        </w:tc>
        <w:tc>
          <w:tcPr>
            <w:tcW w:w="908" w:type="dxa"/>
            <w:shd w:val="clear" w:color="auto" w:fill="auto"/>
            <w:tcMar>
              <w:top w:w="28" w:type="dxa"/>
              <w:left w:w="57" w:type="dxa"/>
              <w:bottom w:w="28" w:type="dxa"/>
              <w:right w:w="57" w:type="dxa"/>
            </w:tcMar>
          </w:tcPr>
          <w:p w14:paraId="6639734E" w14:textId="77777777" w:rsidR="00861DE9" w:rsidRPr="00FF095F" w:rsidRDefault="00861DE9" w:rsidP="004204CE">
            <w:pPr>
              <w:pStyle w:val="TAL"/>
              <w:rPr>
                <w:sz w:val="12"/>
                <w:szCs w:val="14"/>
              </w:rPr>
            </w:pPr>
            <w:r w:rsidRPr="00FF095F">
              <w:rPr>
                <w:sz w:val="12"/>
                <w:szCs w:val="14"/>
              </w:rPr>
              <w:t>-</w:t>
            </w:r>
          </w:p>
        </w:tc>
        <w:tc>
          <w:tcPr>
            <w:tcW w:w="909" w:type="dxa"/>
            <w:shd w:val="clear" w:color="auto" w:fill="auto"/>
            <w:tcMar>
              <w:top w:w="28" w:type="dxa"/>
              <w:left w:w="57" w:type="dxa"/>
              <w:bottom w:w="28" w:type="dxa"/>
              <w:right w:w="57" w:type="dxa"/>
            </w:tcMar>
          </w:tcPr>
          <w:p w14:paraId="450967CE" w14:textId="77777777" w:rsidR="00861DE9" w:rsidRPr="00FF095F" w:rsidRDefault="00861DE9" w:rsidP="004204CE">
            <w:pPr>
              <w:pStyle w:val="TAL"/>
              <w:rPr>
                <w:sz w:val="12"/>
                <w:szCs w:val="14"/>
              </w:rPr>
            </w:pPr>
            <w:r w:rsidRPr="00FF095F">
              <w:rPr>
                <w:sz w:val="12"/>
                <w:szCs w:val="14"/>
              </w:rPr>
              <w:t>-</w:t>
            </w:r>
          </w:p>
        </w:tc>
        <w:tc>
          <w:tcPr>
            <w:tcW w:w="909" w:type="dxa"/>
            <w:shd w:val="clear" w:color="auto" w:fill="auto"/>
            <w:tcMar>
              <w:top w:w="28" w:type="dxa"/>
              <w:left w:w="57" w:type="dxa"/>
              <w:bottom w:w="28" w:type="dxa"/>
              <w:right w:w="57" w:type="dxa"/>
            </w:tcMar>
          </w:tcPr>
          <w:p w14:paraId="14E015F7" w14:textId="77777777" w:rsidR="00861DE9" w:rsidRPr="00FF095F" w:rsidRDefault="00861DE9" w:rsidP="004204CE">
            <w:pPr>
              <w:pStyle w:val="TAL"/>
              <w:rPr>
                <w:sz w:val="12"/>
                <w:szCs w:val="14"/>
              </w:rPr>
            </w:pPr>
            <w:r w:rsidRPr="00FF095F">
              <w:rPr>
                <w:sz w:val="12"/>
                <w:szCs w:val="14"/>
              </w:rPr>
              <w:t>-</w:t>
            </w:r>
          </w:p>
        </w:tc>
        <w:tc>
          <w:tcPr>
            <w:tcW w:w="909" w:type="dxa"/>
            <w:shd w:val="clear" w:color="auto" w:fill="auto"/>
            <w:tcMar>
              <w:top w:w="28" w:type="dxa"/>
              <w:left w:w="57" w:type="dxa"/>
              <w:bottom w:w="28" w:type="dxa"/>
              <w:right w:w="57" w:type="dxa"/>
            </w:tcMar>
          </w:tcPr>
          <w:p w14:paraId="73B76D2F" w14:textId="77777777" w:rsidR="00861DE9" w:rsidRPr="00FF095F" w:rsidRDefault="00861DE9" w:rsidP="004204CE">
            <w:pPr>
              <w:pStyle w:val="TAL"/>
              <w:rPr>
                <w:sz w:val="12"/>
                <w:szCs w:val="14"/>
              </w:rPr>
            </w:pPr>
            <w:r w:rsidRPr="00FF095F">
              <w:rPr>
                <w:sz w:val="12"/>
                <w:szCs w:val="14"/>
              </w:rPr>
              <w:t>-</w:t>
            </w:r>
          </w:p>
        </w:tc>
      </w:tr>
      <w:tr w:rsidR="00861DE9" w:rsidRPr="00FF095F" w14:paraId="018E292C" w14:textId="77777777" w:rsidTr="00FF095F">
        <w:trPr>
          <w:jc w:val="center"/>
        </w:trPr>
        <w:tc>
          <w:tcPr>
            <w:tcW w:w="918" w:type="dxa"/>
            <w:shd w:val="clear" w:color="auto" w:fill="auto"/>
            <w:tcMar>
              <w:top w:w="28" w:type="dxa"/>
              <w:left w:w="57" w:type="dxa"/>
              <w:bottom w:w="28" w:type="dxa"/>
              <w:right w:w="57" w:type="dxa"/>
            </w:tcMar>
            <w:vAlign w:val="center"/>
          </w:tcPr>
          <w:p w14:paraId="0276C107" w14:textId="77777777" w:rsidR="00861DE9" w:rsidRPr="00FF095F" w:rsidRDefault="00861DE9" w:rsidP="004204CE">
            <w:pPr>
              <w:pStyle w:val="TAC"/>
              <w:rPr>
                <w:sz w:val="12"/>
                <w:szCs w:val="14"/>
              </w:rPr>
            </w:pPr>
            <w:r w:rsidRPr="00FF095F">
              <w:rPr>
                <w:sz w:val="12"/>
                <w:szCs w:val="14"/>
              </w:rPr>
              <w:t>2</w:t>
            </w:r>
          </w:p>
        </w:tc>
        <w:tc>
          <w:tcPr>
            <w:tcW w:w="905" w:type="dxa"/>
            <w:shd w:val="clear" w:color="auto" w:fill="auto"/>
            <w:tcMar>
              <w:top w:w="28" w:type="dxa"/>
              <w:left w:w="57" w:type="dxa"/>
              <w:bottom w:w="28" w:type="dxa"/>
              <w:right w:w="57" w:type="dxa"/>
            </w:tcMar>
            <w:vAlign w:val="center"/>
          </w:tcPr>
          <w:p w14:paraId="20D7D527" w14:textId="77777777" w:rsidR="00861DE9" w:rsidRPr="00FF095F" w:rsidRDefault="00861DE9" w:rsidP="004204CE">
            <w:pPr>
              <w:pStyle w:val="TAL"/>
              <w:rPr>
                <w:sz w:val="12"/>
                <w:szCs w:val="14"/>
              </w:rPr>
            </w:pPr>
            <w:r w:rsidRPr="00FF095F">
              <w:rPr>
                <w:sz w:val="12"/>
                <w:szCs w:val="14"/>
              </w:rPr>
              <w:t>[0 0]</w:t>
            </w:r>
          </w:p>
        </w:tc>
        <w:tc>
          <w:tcPr>
            <w:tcW w:w="922" w:type="dxa"/>
            <w:shd w:val="clear" w:color="auto" w:fill="auto"/>
            <w:tcMar>
              <w:top w:w="28" w:type="dxa"/>
              <w:left w:w="57" w:type="dxa"/>
              <w:bottom w:w="28" w:type="dxa"/>
              <w:right w:w="57" w:type="dxa"/>
            </w:tcMar>
            <w:vAlign w:val="center"/>
          </w:tcPr>
          <w:p w14:paraId="13190813" w14:textId="77777777" w:rsidR="00861DE9" w:rsidRPr="00FF095F" w:rsidRDefault="00861DE9" w:rsidP="004204CE">
            <w:pPr>
              <w:pStyle w:val="TAL"/>
              <w:rPr>
                <w:sz w:val="12"/>
                <w:szCs w:val="14"/>
              </w:rPr>
            </w:pPr>
            <w:r w:rsidRPr="00FF095F">
              <w:rPr>
                <w:sz w:val="12"/>
                <w:szCs w:val="14"/>
              </w:rPr>
              <w:t>[0 1]</w:t>
            </w:r>
          </w:p>
        </w:tc>
        <w:tc>
          <w:tcPr>
            <w:tcW w:w="951" w:type="dxa"/>
            <w:shd w:val="clear" w:color="auto" w:fill="auto"/>
            <w:tcMar>
              <w:top w:w="28" w:type="dxa"/>
              <w:left w:w="57" w:type="dxa"/>
              <w:bottom w:w="28" w:type="dxa"/>
              <w:right w:w="57" w:type="dxa"/>
            </w:tcMar>
            <w:vAlign w:val="center"/>
          </w:tcPr>
          <w:p w14:paraId="42576F48" w14:textId="77777777" w:rsidR="00861DE9" w:rsidRPr="00FF095F" w:rsidRDefault="00861DE9" w:rsidP="004204CE">
            <w:pPr>
              <w:pStyle w:val="TAL"/>
              <w:rPr>
                <w:sz w:val="12"/>
                <w:szCs w:val="14"/>
              </w:rPr>
            </w:pPr>
            <w:r w:rsidRPr="00FF095F">
              <w:rPr>
                <w:sz w:val="12"/>
                <w:szCs w:val="14"/>
              </w:rPr>
              <w:t>-</w:t>
            </w:r>
          </w:p>
        </w:tc>
        <w:tc>
          <w:tcPr>
            <w:tcW w:w="908" w:type="dxa"/>
            <w:shd w:val="clear" w:color="auto" w:fill="auto"/>
            <w:tcMar>
              <w:top w:w="28" w:type="dxa"/>
              <w:left w:w="57" w:type="dxa"/>
              <w:bottom w:w="28" w:type="dxa"/>
              <w:right w:w="57" w:type="dxa"/>
            </w:tcMar>
            <w:vAlign w:val="center"/>
          </w:tcPr>
          <w:p w14:paraId="2F5507B5" w14:textId="77777777" w:rsidR="00861DE9" w:rsidRPr="00FF095F" w:rsidRDefault="00861DE9" w:rsidP="004204CE">
            <w:pPr>
              <w:pStyle w:val="TAL"/>
              <w:rPr>
                <w:sz w:val="12"/>
                <w:szCs w:val="14"/>
              </w:rPr>
            </w:pPr>
            <w:r w:rsidRPr="00FF095F">
              <w:rPr>
                <w:sz w:val="12"/>
                <w:szCs w:val="14"/>
              </w:rPr>
              <w:t>-</w:t>
            </w:r>
          </w:p>
        </w:tc>
        <w:tc>
          <w:tcPr>
            <w:tcW w:w="909" w:type="dxa"/>
            <w:shd w:val="clear" w:color="auto" w:fill="auto"/>
            <w:tcMar>
              <w:top w:w="28" w:type="dxa"/>
              <w:left w:w="57" w:type="dxa"/>
              <w:bottom w:w="28" w:type="dxa"/>
              <w:right w:w="57" w:type="dxa"/>
            </w:tcMar>
            <w:vAlign w:val="center"/>
          </w:tcPr>
          <w:p w14:paraId="6C156977" w14:textId="77777777" w:rsidR="00861DE9" w:rsidRPr="00FF095F" w:rsidRDefault="00861DE9" w:rsidP="004204CE">
            <w:pPr>
              <w:pStyle w:val="TAL"/>
              <w:rPr>
                <w:sz w:val="12"/>
                <w:szCs w:val="14"/>
              </w:rPr>
            </w:pPr>
            <w:r w:rsidRPr="00FF095F">
              <w:rPr>
                <w:sz w:val="12"/>
                <w:szCs w:val="14"/>
              </w:rPr>
              <w:t>-</w:t>
            </w:r>
          </w:p>
        </w:tc>
        <w:tc>
          <w:tcPr>
            <w:tcW w:w="909" w:type="dxa"/>
            <w:shd w:val="clear" w:color="auto" w:fill="auto"/>
            <w:tcMar>
              <w:top w:w="28" w:type="dxa"/>
              <w:left w:w="57" w:type="dxa"/>
              <w:bottom w:w="28" w:type="dxa"/>
              <w:right w:w="57" w:type="dxa"/>
            </w:tcMar>
            <w:vAlign w:val="center"/>
          </w:tcPr>
          <w:p w14:paraId="0C7BFBB6" w14:textId="77777777" w:rsidR="00861DE9" w:rsidRPr="00FF095F" w:rsidRDefault="00861DE9" w:rsidP="004204CE">
            <w:pPr>
              <w:pStyle w:val="TAL"/>
              <w:rPr>
                <w:sz w:val="12"/>
                <w:szCs w:val="14"/>
              </w:rPr>
            </w:pPr>
            <w:r w:rsidRPr="00FF095F">
              <w:rPr>
                <w:sz w:val="12"/>
                <w:szCs w:val="14"/>
              </w:rPr>
              <w:t>-</w:t>
            </w:r>
          </w:p>
        </w:tc>
        <w:tc>
          <w:tcPr>
            <w:tcW w:w="909" w:type="dxa"/>
            <w:shd w:val="clear" w:color="auto" w:fill="auto"/>
            <w:tcMar>
              <w:top w:w="28" w:type="dxa"/>
              <w:left w:w="57" w:type="dxa"/>
              <w:bottom w:w="28" w:type="dxa"/>
              <w:right w:w="57" w:type="dxa"/>
            </w:tcMar>
            <w:vAlign w:val="center"/>
          </w:tcPr>
          <w:p w14:paraId="0B7423CD" w14:textId="77777777" w:rsidR="00861DE9" w:rsidRPr="00FF095F" w:rsidRDefault="00861DE9" w:rsidP="004204CE">
            <w:pPr>
              <w:pStyle w:val="TAL"/>
              <w:rPr>
                <w:sz w:val="12"/>
                <w:szCs w:val="14"/>
              </w:rPr>
            </w:pPr>
            <w:r w:rsidRPr="00FF095F">
              <w:rPr>
                <w:sz w:val="12"/>
                <w:szCs w:val="14"/>
              </w:rPr>
              <w:t>-</w:t>
            </w:r>
          </w:p>
        </w:tc>
      </w:tr>
      <w:tr w:rsidR="00861DE9" w:rsidRPr="00FF095F" w14:paraId="56A0D06B" w14:textId="77777777" w:rsidTr="00FF095F">
        <w:trPr>
          <w:jc w:val="center"/>
        </w:trPr>
        <w:tc>
          <w:tcPr>
            <w:tcW w:w="918" w:type="dxa"/>
            <w:shd w:val="clear" w:color="auto" w:fill="auto"/>
            <w:tcMar>
              <w:top w:w="28" w:type="dxa"/>
              <w:left w:w="57" w:type="dxa"/>
              <w:bottom w:w="28" w:type="dxa"/>
              <w:right w:w="57" w:type="dxa"/>
            </w:tcMar>
            <w:vAlign w:val="center"/>
          </w:tcPr>
          <w:p w14:paraId="45CE2B37" w14:textId="77777777" w:rsidR="00861DE9" w:rsidRPr="00FF095F" w:rsidRDefault="00861DE9" w:rsidP="004204CE">
            <w:pPr>
              <w:pStyle w:val="TAC"/>
              <w:rPr>
                <w:sz w:val="12"/>
                <w:szCs w:val="14"/>
              </w:rPr>
            </w:pPr>
            <w:r w:rsidRPr="00FF095F">
              <w:rPr>
                <w:sz w:val="12"/>
                <w:szCs w:val="14"/>
              </w:rPr>
              <w:t>3</w:t>
            </w:r>
          </w:p>
        </w:tc>
        <w:tc>
          <w:tcPr>
            <w:tcW w:w="905" w:type="dxa"/>
            <w:shd w:val="clear" w:color="auto" w:fill="auto"/>
            <w:tcMar>
              <w:top w:w="28" w:type="dxa"/>
              <w:left w:w="57" w:type="dxa"/>
              <w:bottom w:w="28" w:type="dxa"/>
              <w:right w:w="57" w:type="dxa"/>
            </w:tcMar>
            <w:vAlign w:val="center"/>
          </w:tcPr>
          <w:p w14:paraId="115CB999" w14:textId="77777777" w:rsidR="00861DE9" w:rsidRPr="00FF095F" w:rsidRDefault="00861DE9" w:rsidP="004204CE">
            <w:pPr>
              <w:pStyle w:val="TAL"/>
              <w:rPr>
                <w:sz w:val="12"/>
                <w:szCs w:val="14"/>
              </w:rPr>
            </w:pPr>
            <w:r w:rsidRPr="00FF095F">
              <w:rPr>
                <w:sz w:val="12"/>
                <w:szCs w:val="14"/>
              </w:rPr>
              <w:t>[0 0 0]</w:t>
            </w:r>
          </w:p>
        </w:tc>
        <w:tc>
          <w:tcPr>
            <w:tcW w:w="922" w:type="dxa"/>
            <w:shd w:val="clear" w:color="auto" w:fill="auto"/>
            <w:tcMar>
              <w:top w:w="28" w:type="dxa"/>
              <w:left w:w="57" w:type="dxa"/>
              <w:bottom w:w="28" w:type="dxa"/>
              <w:right w:w="57" w:type="dxa"/>
            </w:tcMar>
            <w:vAlign w:val="center"/>
          </w:tcPr>
          <w:p w14:paraId="2D48CEA4" w14:textId="77777777" w:rsidR="00861DE9" w:rsidRPr="00FF095F" w:rsidRDefault="00861DE9" w:rsidP="004204CE">
            <w:pPr>
              <w:pStyle w:val="TAL"/>
              <w:rPr>
                <w:sz w:val="12"/>
                <w:szCs w:val="14"/>
              </w:rPr>
            </w:pPr>
            <w:r w:rsidRPr="00FF095F">
              <w:rPr>
                <w:sz w:val="12"/>
                <w:szCs w:val="14"/>
              </w:rPr>
              <w:t>[0 1 2]</w:t>
            </w:r>
          </w:p>
        </w:tc>
        <w:tc>
          <w:tcPr>
            <w:tcW w:w="951" w:type="dxa"/>
            <w:shd w:val="clear" w:color="auto" w:fill="auto"/>
            <w:tcMar>
              <w:top w:w="28" w:type="dxa"/>
              <w:left w:w="57" w:type="dxa"/>
              <w:bottom w:w="28" w:type="dxa"/>
              <w:right w:w="57" w:type="dxa"/>
            </w:tcMar>
            <w:vAlign w:val="center"/>
          </w:tcPr>
          <w:p w14:paraId="5D2C3BEC" w14:textId="77777777" w:rsidR="00861DE9" w:rsidRPr="00FF095F" w:rsidRDefault="00861DE9" w:rsidP="004204CE">
            <w:pPr>
              <w:pStyle w:val="TAL"/>
              <w:rPr>
                <w:sz w:val="12"/>
                <w:szCs w:val="14"/>
              </w:rPr>
            </w:pPr>
            <w:r w:rsidRPr="00FF095F">
              <w:rPr>
                <w:sz w:val="12"/>
                <w:szCs w:val="14"/>
              </w:rPr>
              <w:t>[0 2 1]</w:t>
            </w:r>
          </w:p>
        </w:tc>
        <w:tc>
          <w:tcPr>
            <w:tcW w:w="908" w:type="dxa"/>
            <w:shd w:val="clear" w:color="auto" w:fill="auto"/>
            <w:tcMar>
              <w:top w:w="28" w:type="dxa"/>
              <w:left w:w="57" w:type="dxa"/>
              <w:bottom w:w="28" w:type="dxa"/>
              <w:right w:w="57" w:type="dxa"/>
            </w:tcMar>
            <w:vAlign w:val="center"/>
          </w:tcPr>
          <w:p w14:paraId="0503BE7B" w14:textId="77777777" w:rsidR="00861DE9" w:rsidRPr="00FF095F" w:rsidRDefault="00861DE9" w:rsidP="004204CE">
            <w:pPr>
              <w:pStyle w:val="TAL"/>
              <w:rPr>
                <w:sz w:val="12"/>
                <w:szCs w:val="14"/>
              </w:rPr>
            </w:pPr>
            <w:r w:rsidRPr="00FF095F">
              <w:rPr>
                <w:sz w:val="12"/>
                <w:szCs w:val="14"/>
              </w:rPr>
              <w:t>-</w:t>
            </w:r>
          </w:p>
        </w:tc>
        <w:tc>
          <w:tcPr>
            <w:tcW w:w="909" w:type="dxa"/>
            <w:shd w:val="clear" w:color="auto" w:fill="auto"/>
            <w:tcMar>
              <w:top w:w="28" w:type="dxa"/>
              <w:left w:w="57" w:type="dxa"/>
              <w:bottom w:w="28" w:type="dxa"/>
              <w:right w:w="57" w:type="dxa"/>
            </w:tcMar>
            <w:vAlign w:val="center"/>
          </w:tcPr>
          <w:p w14:paraId="7BAF1DD1" w14:textId="77777777" w:rsidR="00861DE9" w:rsidRPr="00FF095F" w:rsidRDefault="00861DE9" w:rsidP="004204CE">
            <w:pPr>
              <w:pStyle w:val="TAL"/>
              <w:rPr>
                <w:sz w:val="12"/>
                <w:szCs w:val="14"/>
              </w:rPr>
            </w:pPr>
            <w:r w:rsidRPr="00FF095F">
              <w:rPr>
                <w:sz w:val="12"/>
                <w:szCs w:val="14"/>
              </w:rPr>
              <w:t>-</w:t>
            </w:r>
          </w:p>
        </w:tc>
        <w:tc>
          <w:tcPr>
            <w:tcW w:w="909" w:type="dxa"/>
            <w:shd w:val="clear" w:color="auto" w:fill="auto"/>
            <w:tcMar>
              <w:top w:w="28" w:type="dxa"/>
              <w:left w:w="57" w:type="dxa"/>
              <w:bottom w:w="28" w:type="dxa"/>
              <w:right w:w="57" w:type="dxa"/>
            </w:tcMar>
            <w:vAlign w:val="center"/>
          </w:tcPr>
          <w:p w14:paraId="0817D06B" w14:textId="77777777" w:rsidR="00861DE9" w:rsidRPr="00FF095F" w:rsidRDefault="00861DE9" w:rsidP="004204CE">
            <w:pPr>
              <w:pStyle w:val="TAL"/>
              <w:rPr>
                <w:sz w:val="12"/>
                <w:szCs w:val="14"/>
              </w:rPr>
            </w:pPr>
            <w:r w:rsidRPr="00FF095F">
              <w:rPr>
                <w:sz w:val="12"/>
                <w:szCs w:val="14"/>
              </w:rPr>
              <w:t>-</w:t>
            </w:r>
          </w:p>
        </w:tc>
        <w:tc>
          <w:tcPr>
            <w:tcW w:w="909" w:type="dxa"/>
            <w:shd w:val="clear" w:color="auto" w:fill="auto"/>
            <w:tcMar>
              <w:top w:w="28" w:type="dxa"/>
              <w:left w:w="57" w:type="dxa"/>
              <w:bottom w:w="28" w:type="dxa"/>
              <w:right w:w="57" w:type="dxa"/>
            </w:tcMar>
            <w:vAlign w:val="center"/>
          </w:tcPr>
          <w:p w14:paraId="14A34528" w14:textId="77777777" w:rsidR="00861DE9" w:rsidRPr="00FF095F" w:rsidRDefault="00861DE9" w:rsidP="004204CE">
            <w:pPr>
              <w:pStyle w:val="TAL"/>
              <w:rPr>
                <w:sz w:val="12"/>
                <w:szCs w:val="14"/>
              </w:rPr>
            </w:pPr>
            <w:r w:rsidRPr="00FF095F">
              <w:rPr>
                <w:sz w:val="12"/>
                <w:szCs w:val="14"/>
              </w:rPr>
              <w:t>-</w:t>
            </w:r>
          </w:p>
        </w:tc>
      </w:tr>
      <w:tr w:rsidR="00861DE9" w:rsidRPr="00FF095F" w14:paraId="15ACB5C1" w14:textId="77777777" w:rsidTr="00FF095F">
        <w:trPr>
          <w:jc w:val="center"/>
        </w:trPr>
        <w:tc>
          <w:tcPr>
            <w:tcW w:w="918" w:type="dxa"/>
            <w:shd w:val="clear" w:color="auto" w:fill="auto"/>
            <w:tcMar>
              <w:top w:w="28" w:type="dxa"/>
              <w:left w:w="57" w:type="dxa"/>
              <w:bottom w:w="28" w:type="dxa"/>
              <w:right w:w="57" w:type="dxa"/>
            </w:tcMar>
            <w:vAlign w:val="center"/>
          </w:tcPr>
          <w:p w14:paraId="72687E3F" w14:textId="77777777" w:rsidR="00861DE9" w:rsidRPr="00FF095F" w:rsidRDefault="00861DE9" w:rsidP="004204CE">
            <w:pPr>
              <w:pStyle w:val="TAC"/>
              <w:rPr>
                <w:sz w:val="12"/>
                <w:szCs w:val="14"/>
              </w:rPr>
            </w:pPr>
            <w:r w:rsidRPr="00FF095F">
              <w:rPr>
                <w:sz w:val="12"/>
                <w:szCs w:val="14"/>
              </w:rPr>
              <w:t>4</w:t>
            </w:r>
          </w:p>
        </w:tc>
        <w:tc>
          <w:tcPr>
            <w:tcW w:w="905" w:type="dxa"/>
            <w:shd w:val="clear" w:color="auto" w:fill="auto"/>
            <w:tcMar>
              <w:top w:w="28" w:type="dxa"/>
              <w:left w:w="57" w:type="dxa"/>
              <w:bottom w:w="28" w:type="dxa"/>
              <w:right w:w="57" w:type="dxa"/>
            </w:tcMar>
            <w:vAlign w:val="center"/>
          </w:tcPr>
          <w:p w14:paraId="2DC02DE0" w14:textId="77777777" w:rsidR="00861DE9" w:rsidRPr="00FF095F" w:rsidRDefault="00861DE9" w:rsidP="004204CE">
            <w:pPr>
              <w:pStyle w:val="TAL"/>
              <w:rPr>
                <w:sz w:val="12"/>
                <w:szCs w:val="14"/>
              </w:rPr>
            </w:pPr>
            <w:r w:rsidRPr="00FF095F">
              <w:rPr>
                <w:sz w:val="12"/>
                <w:szCs w:val="14"/>
              </w:rPr>
              <w:t>[0 0 0 0]</w:t>
            </w:r>
          </w:p>
        </w:tc>
        <w:tc>
          <w:tcPr>
            <w:tcW w:w="922" w:type="dxa"/>
            <w:shd w:val="clear" w:color="auto" w:fill="auto"/>
            <w:tcMar>
              <w:top w:w="28" w:type="dxa"/>
              <w:left w:w="57" w:type="dxa"/>
              <w:bottom w:w="28" w:type="dxa"/>
              <w:right w:w="57" w:type="dxa"/>
            </w:tcMar>
            <w:vAlign w:val="center"/>
          </w:tcPr>
          <w:p w14:paraId="40ACAEEF" w14:textId="77777777" w:rsidR="00861DE9" w:rsidRPr="00FF095F" w:rsidRDefault="00861DE9" w:rsidP="004204CE">
            <w:pPr>
              <w:pStyle w:val="TAL"/>
              <w:rPr>
                <w:sz w:val="12"/>
                <w:szCs w:val="14"/>
              </w:rPr>
            </w:pPr>
            <w:r w:rsidRPr="00FF095F">
              <w:rPr>
                <w:sz w:val="12"/>
                <w:szCs w:val="14"/>
              </w:rPr>
              <w:t>[0 2 0 2]</w:t>
            </w:r>
          </w:p>
        </w:tc>
        <w:tc>
          <w:tcPr>
            <w:tcW w:w="951" w:type="dxa"/>
            <w:shd w:val="clear" w:color="auto" w:fill="auto"/>
            <w:tcMar>
              <w:top w:w="28" w:type="dxa"/>
              <w:left w:w="57" w:type="dxa"/>
              <w:bottom w:w="28" w:type="dxa"/>
              <w:right w:w="57" w:type="dxa"/>
            </w:tcMar>
            <w:vAlign w:val="center"/>
          </w:tcPr>
          <w:p w14:paraId="3BBFE862" w14:textId="77777777" w:rsidR="00861DE9" w:rsidRPr="00FF095F" w:rsidRDefault="00861DE9" w:rsidP="004204CE">
            <w:pPr>
              <w:pStyle w:val="TAL"/>
              <w:rPr>
                <w:sz w:val="12"/>
                <w:szCs w:val="14"/>
              </w:rPr>
            </w:pPr>
            <w:r w:rsidRPr="00FF095F">
              <w:rPr>
                <w:sz w:val="12"/>
                <w:szCs w:val="14"/>
              </w:rPr>
              <w:t>[0 0 2 2]</w:t>
            </w:r>
          </w:p>
        </w:tc>
        <w:tc>
          <w:tcPr>
            <w:tcW w:w="908" w:type="dxa"/>
            <w:shd w:val="clear" w:color="auto" w:fill="auto"/>
            <w:tcMar>
              <w:top w:w="28" w:type="dxa"/>
              <w:left w:w="57" w:type="dxa"/>
              <w:bottom w:w="28" w:type="dxa"/>
              <w:right w:w="57" w:type="dxa"/>
            </w:tcMar>
            <w:vAlign w:val="center"/>
          </w:tcPr>
          <w:p w14:paraId="4C42BE1C" w14:textId="77777777" w:rsidR="00861DE9" w:rsidRPr="00FF095F" w:rsidRDefault="00861DE9" w:rsidP="004204CE">
            <w:pPr>
              <w:pStyle w:val="TAL"/>
              <w:rPr>
                <w:sz w:val="12"/>
                <w:szCs w:val="14"/>
              </w:rPr>
            </w:pPr>
            <w:r w:rsidRPr="00FF095F">
              <w:rPr>
                <w:sz w:val="12"/>
                <w:szCs w:val="14"/>
              </w:rPr>
              <w:t>[0 2 2 0]</w:t>
            </w:r>
          </w:p>
        </w:tc>
        <w:tc>
          <w:tcPr>
            <w:tcW w:w="909" w:type="dxa"/>
            <w:shd w:val="clear" w:color="auto" w:fill="auto"/>
            <w:tcMar>
              <w:top w:w="28" w:type="dxa"/>
              <w:left w:w="57" w:type="dxa"/>
              <w:bottom w:w="28" w:type="dxa"/>
              <w:right w:w="57" w:type="dxa"/>
            </w:tcMar>
            <w:vAlign w:val="center"/>
          </w:tcPr>
          <w:p w14:paraId="37840F17" w14:textId="77777777" w:rsidR="00861DE9" w:rsidRPr="00FF095F" w:rsidRDefault="00861DE9" w:rsidP="004204CE">
            <w:pPr>
              <w:pStyle w:val="TAL"/>
              <w:rPr>
                <w:sz w:val="12"/>
                <w:szCs w:val="14"/>
              </w:rPr>
            </w:pPr>
            <w:r w:rsidRPr="00FF095F">
              <w:rPr>
                <w:sz w:val="12"/>
                <w:szCs w:val="14"/>
              </w:rPr>
              <w:t>-</w:t>
            </w:r>
          </w:p>
        </w:tc>
        <w:tc>
          <w:tcPr>
            <w:tcW w:w="909" w:type="dxa"/>
            <w:shd w:val="clear" w:color="auto" w:fill="auto"/>
            <w:tcMar>
              <w:top w:w="28" w:type="dxa"/>
              <w:left w:w="57" w:type="dxa"/>
              <w:bottom w:w="28" w:type="dxa"/>
              <w:right w:w="57" w:type="dxa"/>
            </w:tcMar>
            <w:vAlign w:val="center"/>
          </w:tcPr>
          <w:p w14:paraId="6043B3CE" w14:textId="77777777" w:rsidR="00861DE9" w:rsidRPr="00FF095F" w:rsidRDefault="00861DE9" w:rsidP="004204CE">
            <w:pPr>
              <w:pStyle w:val="TAL"/>
              <w:rPr>
                <w:sz w:val="12"/>
                <w:szCs w:val="14"/>
              </w:rPr>
            </w:pPr>
            <w:r w:rsidRPr="00FF095F">
              <w:rPr>
                <w:sz w:val="12"/>
                <w:szCs w:val="14"/>
              </w:rPr>
              <w:t>-</w:t>
            </w:r>
          </w:p>
        </w:tc>
        <w:tc>
          <w:tcPr>
            <w:tcW w:w="909" w:type="dxa"/>
            <w:shd w:val="clear" w:color="auto" w:fill="auto"/>
            <w:tcMar>
              <w:top w:w="28" w:type="dxa"/>
              <w:left w:w="57" w:type="dxa"/>
              <w:bottom w:w="28" w:type="dxa"/>
              <w:right w:w="57" w:type="dxa"/>
            </w:tcMar>
            <w:vAlign w:val="center"/>
          </w:tcPr>
          <w:p w14:paraId="2055C67F" w14:textId="77777777" w:rsidR="00861DE9" w:rsidRPr="00FF095F" w:rsidRDefault="00861DE9" w:rsidP="004204CE">
            <w:pPr>
              <w:pStyle w:val="TAL"/>
              <w:rPr>
                <w:sz w:val="12"/>
                <w:szCs w:val="14"/>
              </w:rPr>
            </w:pPr>
            <w:r w:rsidRPr="00FF095F">
              <w:rPr>
                <w:sz w:val="12"/>
                <w:szCs w:val="14"/>
              </w:rPr>
              <w:t>-</w:t>
            </w:r>
          </w:p>
        </w:tc>
      </w:tr>
      <w:tr w:rsidR="00861DE9" w:rsidRPr="00FF095F" w14:paraId="6DB8C35A" w14:textId="77777777" w:rsidTr="00FF095F">
        <w:trPr>
          <w:jc w:val="center"/>
        </w:trPr>
        <w:tc>
          <w:tcPr>
            <w:tcW w:w="918" w:type="dxa"/>
            <w:shd w:val="clear" w:color="auto" w:fill="auto"/>
            <w:tcMar>
              <w:top w:w="28" w:type="dxa"/>
              <w:left w:w="57" w:type="dxa"/>
              <w:bottom w:w="28" w:type="dxa"/>
              <w:right w:w="57" w:type="dxa"/>
            </w:tcMar>
            <w:vAlign w:val="center"/>
          </w:tcPr>
          <w:p w14:paraId="1DC568C2" w14:textId="77777777" w:rsidR="00861DE9" w:rsidRPr="00FF095F" w:rsidRDefault="00861DE9" w:rsidP="004204CE">
            <w:pPr>
              <w:pStyle w:val="TAC"/>
              <w:rPr>
                <w:sz w:val="12"/>
                <w:szCs w:val="14"/>
              </w:rPr>
            </w:pPr>
            <w:r w:rsidRPr="00FF095F">
              <w:rPr>
                <w:sz w:val="12"/>
                <w:szCs w:val="14"/>
              </w:rPr>
              <w:t>5</w:t>
            </w:r>
          </w:p>
        </w:tc>
        <w:tc>
          <w:tcPr>
            <w:tcW w:w="905" w:type="dxa"/>
            <w:shd w:val="clear" w:color="auto" w:fill="auto"/>
            <w:tcMar>
              <w:top w:w="28" w:type="dxa"/>
              <w:left w:w="57" w:type="dxa"/>
              <w:bottom w:w="28" w:type="dxa"/>
              <w:right w:w="57" w:type="dxa"/>
            </w:tcMar>
            <w:vAlign w:val="center"/>
          </w:tcPr>
          <w:p w14:paraId="3950A46E" w14:textId="77777777" w:rsidR="00861DE9" w:rsidRPr="00FF095F" w:rsidRDefault="00861DE9" w:rsidP="004204CE">
            <w:pPr>
              <w:pStyle w:val="TAL"/>
              <w:rPr>
                <w:sz w:val="12"/>
                <w:szCs w:val="14"/>
              </w:rPr>
            </w:pPr>
            <w:r w:rsidRPr="00FF095F">
              <w:rPr>
                <w:sz w:val="12"/>
                <w:szCs w:val="14"/>
              </w:rPr>
              <w:t>[0 0 0 0 0]</w:t>
            </w:r>
          </w:p>
        </w:tc>
        <w:tc>
          <w:tcPr>
            <w:tcW w:w="922" w:type="dxa"/>
            <w:shd w:val="clear" w:color="auto" w:fill="auto"/>
            <w:tcMar>
              <w:top w:w="28" w:type="dxa"/>
              <w:left w:w="57" w:type="dxa"/>
              <w:bottom w:w="28" w:type="dxa"/>
              <w:right w:w="57" w:type="dxa"/>
            </w:tcMar>
            <w:vAlign w:val="center"/>
          </w:tcPr>
          <w:p w14:paraId="65C0F483" w14:textId="77777777" w:rsidR="00861DE9" w:rsidRPr="00FF095F" w:rsidRDefault="00861DE9" w:rsidP="004204CE">
            <w:pPr>
              <w:pStyle w:val="TAL"/>
              <w:rPr>
                <w:sz w:val="12"/>
                <w:szCs w:val="14"/>
              </w:rPr>
            </w:pPr>
            <w:r w:rsidRPr="00FF095F">
              <w:rPr>
                <w:sz w:val="12"/>
                <w:szCs w:val="14"/>
              </w:rPr>
              <w:t>[0 1 2 3 4]</w:t>
            </w:r>
          </w:p>
        </w:tc>
        <w:tc>
          <w:tcPr>
            <w:tcW w:w="951" w:type="dxa"/>
            <w:shd w:val="clear" w:color="auto" w:fill="auto"/>
            <w:tcMar>
              <w:top w:w="28" w:type="dxa"/>
              <w:left w:w="57" w:type="dxa"/>
              <w:bottom w:w="28" w:type="dxa"/>
              <w:right w:w="57" w:type="dxa"/>
            </w:tcMar>
            <w:vAlign w:val="center"/>
          </w:tcPr>
          <w:p w14:paraId="36713CA7" w14:textId="77777777" w:rsidR="00861DE9" w:rsidRPr="00FF095F" w:rsidRDefault="00861DE9" w:rsidP="004204CE">
            <w:pPr>
              <w:pStyle w:val="TAL"/>
              <w:rPr>
                <w:sz w:val="12"/>
                <w:szCs w:val="14"/>
              </w:rPr>
            </w:pPr>
            <w:r w:rsidRPr="00FF095F">
              <w:rPr>
                <w:sz w:val="12"/>
                <w:szCs w:val="14"/>
              </w:rPr>
              <w:t>[0 2 4 1 3]</w:t>
            </w:r>
          </w:p>
        </w:tc>
        <w:tc>
          <w:tcPr>
            <w:tcW w:w="908" w:type="dxa"/>
            <w:shd w:val="clear" w:color="auto" w:fill="auto"/>
            <w:tcMar>
              <w:top w:w="28" w:type="dxa"/>
              <w:left w:w="57" w:type="dxa"/>
              <w:bottom w:w="28" w:type="dxa"/>
              <w:right w:w="57" w:type="dxa"/>
            </w:tcMar>
            <w:vAlign w:val="center"/>
          </w:tcPr>
          <w:p w14:paraId="31309E32" w14:textId="77777777" w:rsidR="00861DE9" w:rsidRPr="00FF095F" w:rsidRDefault="00861DE9" w:rsidP="004204CE">
            <w:pPr>
              <w:pStyle w:val="TAL"/>
              <w:rPr>
                <w:sz w:val="12"/>
                <w:szCs w:val="14"/>
              </w:rPr>
            </w:pPr>
            <w:r w:rsidRPr="00FF095F">
              <w:rPr>
                <w:sz w:val="12"/>
                <w:szCs w:val="14"/>
              </w:rPr>
              <w:t>[0 3 1 4 2]</w:t>
            </w:r>
          </w:p>
        </w:tc>
        <w:tc>
          <w:tcPr>
            <w:tcW w:w="909" w:type="dxa"/>
            <w:shd w:val="clear" w:color="auto" w:fill="auto"/>
            <w:tcMar>
              <w:top w:w="28" w:type="dxa"/>
              <w:left w:w="57" w:type="dxa"/>
              <w:bottom w:w="28" w:type="dxa"/>
              <w:right w:w="57" w:type="dxa"/>
            </w:tcMar>
            <w:vAlign w:val="center"/>
          </w:tcPr>
          <w:p w14:paraId="3131C19A" w14:textId="77777777" w:rsidR="00861DE9" w:rsidRPr="00FF095F" w:rsidRDefault="00861DE9" w:rsidP="004204CE">
            <w:pPr>
              <w:pStyle w:val="TAL"/>
              <w:rPr>
                <w:sz w:val="12"/>
                <w:szCs w:val="14"/>
              </w:rPr>
            </w:pPr>
            <w:r w:rsidRPr="00FF095F">
              <w:rPr>
                <w:sz w:val="12"/>
                <w:szCs w:val="14"/>
              </w:rPr>
              <w:t>[0 4 3 2 1]</w:t>
            </w:r>
          </w:p>
        </w:tc>
        <w:tc>
          <w:tcPr>
            <w:tcW w:w="909" w:type="dxa"/>
            <w:shd w:val="clear" w:color="auto" w:fill="auto"/>
            <w:tcMar>
              <w:top w:w="28" w:type="dxa"/>
              <w:left w:w="57" w:type="dxa"/>
              <w:bottom w:w="28" w:type="dxa"/>
              <w:right w:w="57" w:type="dxa"/>
            </w:tcMar>
            <w:vAlign w:val="center"/>
          </w:tcPr>
          <w:p w14:paraId="5CDCF7D3" w14:textId="77777777" w:rsidR="00861DE9" w:rsidRPr="00FF095F" w:rsidRDefault="00861DE9" w:rsidP="004204CE">
            <w:pPr>
              <w:pStyle w:val="TAL"/>
              <w:rPr>
                <w:sz w:val="12"/>
                <w:szCs w:val="14"/>
              </w:rPr>
            </w:pPr>
            <w:r w:rsidRPr="00FF095F">
              <w:rPr>
                <w:sz w:val="12"/>
                <w:szCs w:val="14"/>
              </w:rPr>
              <w:t>-</w:t>
            </w:r>
          </w:p>
        </w:tc>
        <w:tc>
          <w:tcPr>
            <w:tcW w:w="909" w:type="dxa"/>
            <w:shd w:val="clear" w:color="auto" w:fill="auto"/>
            <w:tcMar>
              <w:top w:w="28" w:type="dxa"/>
              <w:left w:w="57" w:type="dxa"/>
              <w:bottom w:w="28" w:type="dxa"/>
              <w:right w:w="57" w:type="dxa"/>
            </w:tcMar>
            <w:vAlign w:val="center"/>
          </w:tcPr>
          <w:p w14:paraId="241C536A" w14:textId="77777777" w:rsidR="00861DE9" w:rsidRPr="00FF095F" w:rsidRDefault="00861DE9" w:rsidP="004204CE">
            <w:pPr>
              <w:pStyle w:val="TAL"/>
              <w:rPr>
                <w:sz w:val="12"/>
                <w:szCs w:val="14"/>
              </w:rPr>
            </w:pPr>
            <w:r w:rsidRPr="00FF095F">
              <w:rPr>
                <w:sz w:val="12"/>
                <w:szCs w:val="14"/>
              </w:rPr>
              <w:t>-</w:t>
            </w:r>
          </w:p>
        </w:tc>
      </w:tr>
      <w:tr w:rsidR="00861DE9" w:rsidRPr="00FF095F" w14:paraId="2307A46D" w14:textId="77777777" w:rsidTr="00FF095F">
        <w:trPr>
          <w:jc w:val="center"/>
        </w:trPr>
        <w:tc>
          <w:tcPr>
            <w:tcW w:w="918" w:type="dxa"/>
            <w:shd w:val="clear" w:color="auto" w:fill="auto"/>
            <w:tcMar>
              <w:top w:w="28" w:type="dxa"/>
              <w:left w:w="57" w:type="dxa"/>
              <w:bottom w:w="28" w:type="dxa"/>
              <w:right w:w="57" w:type="dxa"/>
            </w:tcMar>
            <w:vAlign w:val="center"/>
          </w:tcPr>
          <w:p w14:paraId="642B3639" w14:textId="77777777" w:rsidR="00861DE9" w:rsidRPr="00FF095F" w:rsidRDefault="00861DE9" w:rsidP="004204CE">
            <w:pPr>
              <w:pStyle w:val="TAC"/>
              <w:rPr>
                <w:sz w:val="12"/>
                <w:szCs w:val="14"/>
              </w:rPr>
            </w:pPr>
            <w:r w:rsidRPr="00FF095F">
              <w:rPr>
                <w:sz w:val="12"/>
                <w:szCs w:val="14"/>
              </w:rPr>
              <w:t>6</w:t>
            </w:r>
          </w:p>
        </w:tc>
        <w:tc>
          <w:tcPr>
            <w:tcW w:w="905" w:type="dxa"/>
            <w:shd w:val="clear" w:color="auto" w:fill="auto"/>
            <w:tcMar>
              <w:top w:w="28" w:type="dxa"/>
              <w:left w:w="57" w:type="dxa"/>
              <w:bottom w:w="28" w:type="dxa"/>
              <w:right w:w="57" w:type="dxa"/>
            </w:tcMar>
            <w:vAlign w:val="center"/>
          </w:tcPr>
          <w:p w14:paraId="68CC2383" w14:textId="77777777" w:rsidR="00861DE9" w:rsidRPr="00FF095F" w:rsidRDefault="00861DE9" w:rsidP="004204CE">
            <w:pPr>
              <w:pStyle w:val="TAL"/>
              <w:rPr>
                <w:sz w:val="12"/>
                <w:szCs w:val="14"/>
              </w:rPr>
            </w:pPr>
            <w:r w:rsidRPr="00FF095F">
              <w:rPr>
                <w:rFonts w:hint="eastAsia"/>
                <w:sz w:val="12"/>
                <w:szCs w:val="14"/>
              </w:rPr>
              <w:t>[</w:t>
            </w:r>
            <w:r w:rsidRPr="00FF095F">
              <w:rPr>
                <w:sz w:val="12"/>
                <w:szCs w:val="14"/>
              </w:rPr>
              <w:t>0 0 0 0 0 0</w:t>
            </w:r>
            <w:r w:rsidRPr="00FF095F">
              <w:rPr>
                <w:rFonts w:hint="eastAsia"/>
                <w:sz w:val="12"/>
                <w:szCs w:val="14"/>
              </w:rPr>
              <w:t>]</w:t>
            </w:r>
          </w:p>
        </w:tc>
        <w:tc>
          <w:tcPr>
            <w:tcW w:w="922" w:type="dxa"/>
            <w:shd w:val="clear" w:color="auto" w:fill="auto"/>
            <w:tcMar>
              <w:top w:w="28" w:type="dxa"/>
              <w:left w:w="57" w:type="dxa"/>
              <w:bottom w:w="28" w:type="dxa"/>
              <w:right w:w="57" w:type="dxa"/>
            </w:tcMar>
            <w:vAlign w:val="center"/>
          </w:tcPr>
          <w:p w14:paraId="7A7B4DA0" w14:textId="77777777" w:rsidR="00861DE9" w:rsidRPr="00FF095F" w:rsidRDefault="00861DE9" w:rsidP="004204CE">
            <w:pPr>
              <w:pStyle w:val="TAL"/>
              <w:rPr>
                <w:sz w:val="12"/>
                <w:szCs w:val="14"/>
              </w:rPr>
            </w:pPr>
            <w:r w:rsidRPr="00FF095F">
              <w:rPr>
                <w:rFonts w:hint="eastAsia"/>
                <w:sz w:val="12"/>
                <w:szCs w:val="14"/>
              </w:rPr>
              <w:t>[</w:t>
            </w:r>
            <w:r w:rsidRPr="00FF095F">
              <w:rPr>
                <w:sz w:val="12"/>
                <w:szCs w:val="14"/>
              </w:rPr>
              <w:t>0 1 2 3 4 5</w:t>
            </w:r>
            <w:r w:rsidRPr="00FF095F">
              <w:rPr>
                <w:rFonts w:hint="eastAsia"/>
                <w:sz w:val="12"/>
                <w:szCs w:val="14"/>
              </w:rPr>
              <w:t>]</w:t>
            </w:r>
          </w:p>
        </w:tc>
        <w:tc>
          <w:tcPr>
            <w:tcW w:w="951" w:type="dxa"/>
            <w:shd w:val="clear" w:color="auto" w:fill="auto"/>
            <w:tcMar>
              <w:top w:w="28" w:type="dxa"/>
              <w:left w:w="57" w:type="dxa"/>
              <w:bottom w:w="28" w:type="dxa"/>
              <w:right w:w="57" w:type="dxa"/>
            </w:tcMar>
            <w:vAlign w:val="center"/>
          </w:tcPr>
          <w:p w14:paraId="675DE8AF" w14:textId="77777777" w:rsidR="00861DE9" w:rsidRPr="00FF095F" w:rsidRDefault="00861DE9" w:rsidP="004204CE">
            <w:pPr>
              <w:pStyle w:val="TAL"/>
              <w:rPr>
                <w:sz w:val="12"/>
                <w:szCs w:val="14"/>
              </w:rPr>
            </w:pPr>
            <w:r w:rsidRPr="00FF095F">
              <w:rPr>
                <w:rFonts w:hint="eastAsia"/>
                <w:sz w:val="12"/>
                <w:szCs w:val="14"/>
              </w:rPr>
              <w:t>[</w:t>
            </w:r>
            <w:r w:rsidRPr="00FF095F">
              <w:rPr>
                <w:sz w:val="12"/>
                <w:szCs w:val="14"/>
              </w:rPr>
              <w:t>0 2 4 0 2 4</w:t>
            </w:r>
            <w:r w:rsidRPr="00FF095F">
              <w:rPr>
                <w:rFonts w:hint="eastAsia"/>
                <w:sz w:val="12"/>
                <w:szCs w:val="14"/>
              </w:rPr>
              <w:t>]</w:t>
            </w:r>
          </w:p>
        </w:tc>
        <w:tc>
          <w:tcPr>
            <w:tcW w:w="908" w:type="dxa"/>
            <w:shd w:val="clear" w:color="auto" w:fill="auto"/>
            <w:tcMar>
              <w:top w:w="28" w:type="dxa"/>
              <w:left w:w="57" w:type="dxa"/>
              <w:bottom w:w="28" w:type="dxa"/>
              <w:right w:w="57" w:type="dxa"/>
            </w:tcMar>
            <w:vAlign w:val="center"/>
          </w:tcPr>
          <w:p w14:paraId="18B481A1" w14:textId="77777777" w:rsidR="00861DE9" w:rsidRPr="00FF095F" w:rsidRDefault="00861DE9" w:rsidP="004204CE">
            <w:pPr>
              <w:pStyle w:val="TAL"/>
              <w:rPr>
                <w:sz w:val="12"/>
                <w:szCs w:val="14"/>
              </w:rPr>
            </w:pPr>
            <w:r w:rsidRPr="00FF095F">
              <w:rPr>
                <w:rFonts w:hint="eastAsia"/>
                <w:sz w:val="12"/>
                <w:szCs w:val="14"/>
              </w:rPr>
              <w:t>[</w:t>
            </w:r>
            <w:r w:rsidRPr="00FF095F">
              <w:rPr>
                <w:sz w:val="12"/>
                <w:szCs w:val="14"/>
              </w:rPr>
              <w:t>0 3 0 3 0 3</w:t>
            </w:r>
            <w:r w:rsidRPr="00FF095F">
              <w:rPr>
                <w:rFonts w:hint="eastAsia"/>
                <w:sz w:val="12"/>
                <w:szCs w:val="14"/>
              </w:rPr>
              <w:t>]</w:t>
            </w:r>
          </w:p>
        </w:tc>
        <w:tc>
          <w:tcPr>
            <w:tcW w:w="909" w:type="dxa"/>
            <w:shd w:val="clear" w:color="auto" w:fill="auto"/>
            <w:tcMar>
              <w:top w:w="28" w:type="dxa"/>
              <w:left w:w="57" w:type="dxa"/>
              <w:bottom w:w="28" w:type="dxa"/>
              <w:right w:w="57" w:type="dxa"/>
            </w:tcMar>
            <w:vAlign w:val="center"/>
          </w:tcPr>
          <w:p w14:paraId="5FDDC139" w14:textId="77777777" w:rsidR="00861DE9" w:rsidRPr="00FF095F" w:rsidRDefault="00861DE9" w:rsidP="004204CE">
            <w:pPr>
              <w:pStyle w:val="TAL"/>
              <w:rPr>
                <w:sz w:val="12"/>
                <w:szCs w:val="14"/>
              </w:rPr>
            </w:pPr>
            <w:r w:rsidRPr="00FF095F">
              <w:rPr>
                <w:rFonts w:hint="eastAsia"/>
                <w:sz w:val="12"/>
                <w:szCs w:val="14"/>
              </w:rPr>
              <w:t>[</w:t>
            </w:r>
            <w:r w:rsidRPr="00FF095F">
              <w:rPr>
                <w:sz w:val="12"/>
                <w:szCs w:val="14"/>
              </w:rPr>
              <w:t>0 4 2 0 4 2</w:t>
            </w:r>
            <w:r w:rsidRPr="00FF095F">
              <w:rPr>
                <w:rFonts w:hint="eastAsia"/>
                <w:sz w:val="12"/>
                <w:szCs w:val="14"/>
              </w:rPr>
              <w:t>]</w:t>
            </w:r>
          </w:p>
        </w:tc>
        <w:tc>
          <w:tcPr>
            <w:tcW w:w="909" w:type="dxa"/>
            <w:shd w:val="clear" w:color="auto" w:fill="auto"/>
            <w:tcMar>
              <w:top w:w="28" w:type="dxa"/>
              <w:left w:w="57" w:type="dxa"/>
              <w:bottom w:w="28" w:type="dxa"/>
              <w:right w:w="57" w:type="dxa"/>
            </w:tcMar>
            <w:vAlign w:val="center"/>
          </w:tcPr>
          <w:p w14:paraId="594A8956" w14:textId="77777777" w:rsidR="00861DE9" w:rsidRPr="00FF095F" w:rsidRDefault="00861DE9" w:rsidP="004204CE">
            <w:pPr>
              <w:pStyle w:val="TAL"/>
              <w:rPr>
                <w:sz w:val="12"/>
                <w:szCs w:val="14"/>
              </w:rPr>
            </w:pPr>
            <w:r w:rsidRPr="00FF095F">
              <w:rPr>
                <w:rFonts w:hint="eastAsia"/>
                <w:sz w:val="12"/>
                <w:szCs w:val="14"/>
              </w:rPr>
              <w:t>[</w:t>
            </w:r>
            <w:r w:rsidRPr="00FF095F">
              <w:rPr>
                <w:sz w:val="12"/>
                <w:szCs w:val="14"/>
              </w:rPr>
              <w:t>0 5 4 3 2 1</w:t>
            </w:r>
            <w:r w:rsidRPr="00FF095F">
              <w:rPr>
                <w:rFonts w:hint="eastAsia"/>
                <w:sz w:val="12"/>
                <w:szCs w:val="14"/>
              </w:rPr>
              <w:t>]</w:t>
            </w:r>
          </w:p>
        </w:tc>
        <w:tc>
          <w:tcPr>
            <w:tcW w:w="909" w:type="dxa"/>
            <w:shd w:val="clear" w:color="auto" w:fill="auto"/>
            <w:tcMar>
              <w:top w:w="28" w:type="dxa"/>
              <w:left w:w="57" w:type="dxa"/>
              <w:bottom w:w="28" w:type="dxa"/>
              <w:right w:w="57" w:type="dxa"/>
            </w:tcMar>
            <w:vAlign w:val="center"/>
          </w:tcPr>
          <w:p w14:paraId="1B839C15" w14:textId="77777777" w:rsidR="00861DE9" w:rsidRPr="00FF095F" w:rsidRDefault="00861DE9" w:rsidP="004204CE">
            <w:pPr>
              <w:pStyle w:val="TAL"/>
              <w:rPr>
                <w:sz w:val="12"/>
                <w:szCs w:val="14"/>
              </w:rPr>
            </w:pPr>
            <w:r w:rsidRPr="00FF095F">
              <w:rPr>
                <w:sz w:val="12"/>
                <w:szCs w:val="14"/>
              </w:rPr>
              <w:t>-</w:t>
            </w:r>
          </w:p>
        </w:tc>
      </w:tr>
      <w:tr w:rsidR="00861DE9" w14:paraId="5733F9BD" w14:textId="77777777" w:rsidTr="00FF095F">
        <w:trPr>
          <w:jc w:val="center"/>
        </w:trPr>
        <w:tc>
          <w:tcPr>
            <w:tcW w:w="918" w:type="dxa"/>
            <w:shd w:val="clear" w:color="auto" w:fill="auto"/>
            <w:tcMar>
              <w:top w:w="28" w:type="dxa"/>
              <w:left w:w="57" w:type="dxa"/>
              <w:bottom w:w="28" w:type="dxa"/>
              <w:right w:w="57" w:type="dxa"/>
            </w:tcMar>
            <w:vAlign w:val="center"/>
          </w:tcPr>
          <w:p w14:paraId="773BB86B" w14:textId="77777777" w:rsidR="00861DE9" w:rsidRPr="00FF095F" w:rsidRDefault="00861DE9" w:rsidP="004204CE">
            <w:pPr>
              <w:pStyle w:val="TAC"/>
              <w:rPr>
                <w:sz w:val="12"/>
                <w:szCs w:val="14"/>
              </w:rPr>
            </w:pPr>
            <w:r w:rsidRPr="00FF095F">
              <w:rPr>
                <w:sz w:val="12"/>
                <w:szCs w:val="14"/>
              </w:rPr>
              <w:t>7</w:t>
            </w:r>
          </w:p>
        </w:tc>
        <w:tc>
          <w:tcPr>
            <w:tcW w:w="905" w:type="dxa"/>
            <w:shd w:val="clear" w:color="auto" w:fill="auto"/>
            <w:tcMar>
              <w:top w:w="28" w:type="dxa"/>
              <w:left w:w="57" w:type="dxa"/>
              <w:bottom w:w="28" w:type="dxa"/>
              <w:right w:w="57" w:type="dxa"/>
            </w:tcMar>
            <w:vAlign w:val="center"/>
          </w:tcPr>
          <w:p w14:paraId="491EE45F" w14:textId="77777777" w:rsidR="00861DE9" w:rsidRPr="00FF095F" w:rsidRDefault="00861DE9" w:rsidP="004204CE">
            <w:pPr>
              <w:pStyle w:val="TAL"/>
              <w:rPr>
                <w:sz w:val="12"/>
                <w:szCs w:val="14"/>
              </w:rPr>
            </w:pPr>
            <w:r w:rsidRPr="00FF095F">
              <w:rPr>
                <w:rFonts w:hint="eastAsia"/>
                <w:sz w:val="12"/>
                <w:szCs w:val="14"/>
              </w:rPr>
              <w:t>[</w:t>
            </w:r>
            <w:r w:rsidRPr="00FF095F">
              <w:rPr>
                <w:sz w:val="12"/>
                <w:szCs w:val="14"/>
              </w:rPr>
              <w:t>0 0 0 0 0 0 0</w:t>
            </w:r>
            <w:r w:rsidRPr="00FF095F">
              <w:rPr>
                <w:rFonts w:hint="eastAsia"/>
                <w:sz w:val="12"/>
                <w:szCs w:val="14"/>
              </w:rPr>
              <w:t>]</w:t>
            </w:r>
          </w:p>
        </w:tc>
        <w:tc>
          <w:tcPr>
            <w:tcW w:w="922" w:type="dxa"/>
            <w:shd w:val="clear" w:color="auto" w:fill="auto"/>
            <w:tcMar>
              <w:top w:w="28" w:type="dxa"/>
              <w:left w:w="57" w:type="dxa"/>
              <w:bottom w:w="28" w:type="dxa"/>
              <w:right w:w="57" w:type="dxa"/>
            </w:tcMar>
            <w:vAlign w:val="center"/>
          </w:tcPr>
          <w:p w14:paraId="412BE1F6" w14:textId="77777777" w:rsidR="00861DE9" w:rsidRPr="00FF095F" w:rsidRDefault="00861DE9" w:rsidP="004204CE">
            <w:pPr>
              <w:pStyle w:val="TAL"/>
              <w:rPr>
                <w:sz w:val="12"/>
                <w:szCs w:val="14"/>
              </w:rPr>
            </w:pPr>
            <w:r w:rsidRPr="00FF095F">
              <w:rPr>
                <w:rFonts w:hint="eastAsia"/>
                <w:sz w:val="12"/>
                <w:szCs w:val="14"/>
              </w:rPr>
              <w:t>[</w:t>
            </w:r>
            <w:r w:rsidRPr="00FF095F">
              <w:rPr>
                <w:sz w:val="12"/>
                <w:szCs w:val="14"/>
              </w:rPr>
              <w:t>0 1 2 3 4 5 6</w:t>
            </w:r>
            <w:r w:rsidRPr="00FF095F">
              <w:rPr>
                <w:rFonts w:hint="eastAsia"/>
                <w:sz w:val="12"/>
                <w:szCs w:val="14"/>
              </w:rPr>
              <w:t>]</w:t>
            </w:r>
          </w:p>
        </w:tc>
        <w:tc>
          <w:tcPr>
            <w:tcW w:w="951" w:type="dxa"/>
            <w:shd w:val="clear" w:color="auto" w:fill="auto"/>
            <w:tcMar>
              <w:top w:w="28" w:type="dxa"/>
              <w:left w:w="57" w:type="dxa"/>
              <w:bottom w:w="28" w:type="dxa"/>
              <w:right w:w="57" w:type="dxa"/>
            </w:tcMar>
            <w:vAlign w:val="center"/>
          </w:tcPr>
          <w:p w14:paraId="4B885EDA" w14:textId="77777777" w:rsidR="00861DE9" w:rsidRPr="00FF095F" w:rsidRDefault="00861DE9" w:rsidP="004204CE">
            <w:pPr>
              <w:pStyle w:val="TAL"/>
              <w:rPr>
                <w:sz w:val="12"/>
                <w:szCs w:val="14"/>
              </w:rPr>
            </w:pPr>
            <w:r w:rsidRPr="00FF095F">
              <w:rPr>
                <w:rFonts w:hint="eastAsia"/>
                <w:sz w:val="12"/>
                <w:szCs w:val="14"/>
              </w:rPr>
              <w:t>[</w:t>
            </w:r>
            <w:r w:rsidRPr="00FF095F">
              <w:rPr>
                <w:sz w:val="12"/>
                <w:szCs w:val="14"/>
              </w:rPr>
              <w:t>0 2 4 6 1 3 5</w:t>
            </w:r>
            <w:r w:rsidRPr="00FF095F">
              <w:rPr>
                <w:rFonts w:hint="eastAsia"/>
                <w:sz w:val="12"/>
                <w:szCs w:val="14"/>
              </w:rPr>
              <w:t>]</w:t>
            </w:r>
          </w:p>
        </w:tc>
        <w:tc>
          <w:tcPr>
            <w:tcW w:w="908" w:type="dxa"/>
            <w:shd w:val="clear" w:color="auto" w:fill="auto"/>
            <w:tcMar>
              <w:top w:w="28" w:type="dxa"/>
              <w:left w:w="57" w:type="dxa"/>
              <w:bottom w:w="28" w:type="dxa"/>
              <w:right w:w="57" w:type="dxa"/>
            </w:tcMar>
            <w:vAlign w:val="center"/>
          </w:tcPr>
          <w:p w14:paraId="49ABABC9" w14:textId="77777777" w:rsidR="00861DE9" w:rsidRPr="00FF095F" w:rsidRDefault="00861DE9" w:rsidP="004204CE">
            <w:pPr>
              <w:pStyle w:val="TAL"/>
              <w:rPr>
                <w:sz w:val="12"/>
                <w:szCs w:val="14"/>
              </w:rPr>
            </w:pPr>
            <w:r w:rsidRPr="00FF095F">
              <w:rPr>
                <w:rFonts w:hint="eastAsia"/>
                <w:sz w:val="12"/>
                <w:szCs w:val="14"/>
              </w:rPr>
              <w:t>[</w:t>
            </w:r>
            <w:r w:rsidRPr="00FF095F">
              <w:rPr>
                <w:sz w:val="12"/>
                <w:szCs w:val="14"/>
              </w:rPr>
              <w:t>0 3 6 2 5 1 4</w:t>
            </w:r>
            <w:r w:rsidRPr="00FF095F">
              <w:rPr>
                <w:rFonts w:hint="eastAsia"/>
                <w:sz w:val="12"/>
                <w:szCs w:val="14"/>
              </w:rPr>
              <w:t>]</w:t>
            </w:r>
          </w:p>
        </w:tc>
        <w:tc>
          <w:tcPr>
            <w:tcW w:w="909" w:type="dxa"/>
            <w:shd w:val="clear" w:color="auto" w:fill="auto"/>
            <w:tcMar>
              <w:top w:w="28" w:type="dxa"/>
              <w:left w:w="57" w:type="dxa"/>
              <w:bottom w:w="28" w:type="dxa"/>
              <w:right w:w="57" w:type="dxa"/>
            </w:tcMar>
            <w:vAlign w:val="center"/>
          </w:tcPr>
          <w:p w14:paraId="59EA08A6" w14:textId="77777777" w:rsidR="00861DE9" w:rsidRPr="00FF095F" w:rsidRDefault="00861DE9" w:rsidP="004204CE">
            <w:pPr>
              <w:pStyle w:val="TAL"/>
              <w:rPr>
                <w:sz w:val="12"/>
                <w:szCs w:val="14"/>
              </w:rPr>
            </w:pPr>
            <w:r w:rsidRPr="00FF095F">
              <w:rPr>
                <w:rFonts w:hint="eastAsia"/>
                <w:sz w:val="12"/>
                <w:szCs w:val="14"/>
              </w:rPr>
              <w:t>[</w:t>
            </w:r>
            <w:r w:rsidRPr="00FF095F">
              <w:rPr>
                <w:sz w:val="12"/>
                <w:szCs w:val="14"/>
              </w:rPr>
              <w:t>0 4 1 5 2 6 3</w:t>
            </w:r>
            <w:r w:rsidRPr="00FF095F">
              <w:rPr>
                <w:rFonts w:hint="eastAsia"/>
                <w:sz w:val="12"/>
                <w:szCs w:val="14"/>
              </w:rPr>
              <w:t>]</w:t>
            </w:r>
          </w:p>
        </w:tc>
        <w:tc>
          <w:tcPr>
            <w:tcW w:w="909" w:type="dxa"/>
            <w:shd w:val="clear" w:color="auto" w:fill="auto"/>
            <w:tcMar>
              <w:top w:w="28" w:type="dxa"/>
              <w:left w:w="57" w:type="dxa"/>
              <w:bottom w:w="28" w:type="dxa"/>
              <w:right w:w="57" w:type="dxa"/>
            </w:tcMar>
            <w:vAlign w:val="center"/>
          </w:tcPr>
          <w:p w14:paraId="025A9EDA" w14:textId="77777777" w:rsidR="00861DE9" w:rsidRPr="00FF095F" w:rsidRDefault="00861DE9" w:rsidP="004204CE">
            <w:pPr>
              <w:pStyle w:val="TAL"/>
              <w:rPr>
                <w:sz w:val="12"/>
                <w:szCs w:val="14"/>
              </w:rPr>
            </w:pPr>
            <w:r w:rsidRPr="00FF095F">
              <w:rPr>
                <w:rFonts w:hint="eastAsia"/>
                <w:sz w:val="12"/>
                <w:szCs w:val="14"/>
              </w:rPr>
              <w:t>[</w:t>
            </w:r>
            <w:r w:rsidRPr="00FF095F">
              <w:rPr>
                <w:sz w:val="12"/>
                <w:szCs w:val="14"/>
              </w:rPr>
              <w:t>0 5 3 1 6 4 2</w:t>
            </w:r>
            <w:r w:rsidRPr="00FF095F">
              <w:rPr>
                <w:rFonts w:hint="eastAsia"/>
                <w:sz w:val="12"/>
                <w:szCs w:val="14"/>
              </w:rPr>
              <w:t>]</w:t>
            </w:r>
          </w:p>
        </w:tc>
        <w:tc>
          <w:tcPr>
            <w:tcW w:w="909" w:type="dxa"/>
            <w:shd w:val="clear" w:color="auto" w:fill="auto"/>
            <w:tcMar>
              <w:top w:w="28" w:type="dxa"/>
              <w:left w:w="57" w:type="dxa"/>
              <w:bottom w:w="28" w:type="dxa"/>
              <w:right w:w="57" w:type="dxa"/>
            </w:tcMar>
            <w:vAlign w:val="center"/>
          </w:tcPr>
          <w:p w14:paraId="698CBCCD" w14:textId="77777777" w:rsidR="00861DE9" w:rsidRDefault="00861DE9" w:rsidP="004204CE">
            <w:pPr>
              <w:pStyle w:val="TAL"/>
              <w:rPr>
                <w:sz w:val="12"/>
                <w:szCs w:val="14"/>
              </w:rPr>
            </w:pPr>
            <w:r w:rsidRPr="00FF095F">
              <w:rPr>
                <w:sz w:val="12"/>
                <w:szCs w:val="14"/>
              </w:rPr>
              <w:t>[0 6 5 4 3 2 1]</w:t>
            </w:r>
          </w:p>
        </w:tc>
      </w:tr>
    </w:tbl>
    <w:p w14:paraId="00009C69" w14:textId="77777777" w:rsidR="00861DE9" w:rsidRDefault="00861DE9" w:rsidP="00861DE9"/>
    <w:p w14:paraId="327D05F8" w14:textId="45CD87A6" w:rsidR="00861DE9" w:rsidRDefault="00861DE9" w:rsidP="00192F86">
      <w:pPr>
        <w:jc w:val="both"/>
        <w:rPr>
          <w:lang w:eastAsia="zh-CN"/>
        </w:rPr>
      </w:pPr>
      <w:r>
        <w:rPr>
          <w:lang w:eastAsia="zh-CN"/>
        </w:rPr>
        <w:t xml:space="preserve">In the table above, if OCC with index 0 (PUCCH </w:t>
      </w:r>
      <w:r w:rsidR="003852F2">
        <w:rPr>
          <w:lang w:eastAsia="zh-CN"/>
        </w:rPr>
        <w:t>F</w:t>
      </w:r>
      <w:r>
        <w:rPr>
          <w:lang w:eastAsia="zh-CN"/>
        </w:rPr>
        <w:t xml:space="preserve">ormat 1) is used, the elements of OCC will be only ones. </w:t>
      </w:r>
      <w:r>
        <w:t xml:space="preserve">For example, if </w:t>
      </w:r>
      <m:oMath>
        <m:sSubSup>
          <m:sSubSupPr>
            <m:ctrlPr>
              <w:rPr>
                <w:rFonts w:ascii="Cambria Math" w:hAnsi="Cambria Math"/>
                <w:i/>
                <w:iCs/>
                <w:sz w:val="24"/>
                <w:szCs w:val="24"/>
              </w:rPr>
            </m:ctrlPr>
          </m:sSubSupPr>
          <m:e>
            <m:r>
              <w:rPr>
                <w:rFonts w:ascii="Cambria Math" w:hAnsi="Cambria Math"/>
              </w:rPr>
              <m:t>N</m:t>
            </m:r>
          </m:e>
          <m:sub>
            <m:r>
              <m:rPr>
                <m:sty m:val="p"/>
              </m:rPr>
              <w:rPr>
                <w:rFonts w:ascii="Cambria Math" w:hAnsi="Cambria Math"/>
              </w:rPr>
              <m:t>SF,</m:t>
            </m:r>
            <m:r>
              <w:rPr>
                <w:rFonts w:ascii="Cambria Math" w:hAnsi="Cambria Math"/>
              </w:rPr>
              <m:t>m'</m:t>
            </m:r>
          </m:sub>
          <m:sup>
            <m:r>
              <m:rPr>
                <m:sty m:val="p"/>
              </m:rPr>
              <w:rPr>
                <w:rFonts w:ascii="Cambria Math" w:hAnsi="Cambria Math"/>
              </w:rPr>
              <m:t>PUCCH</m:t>
            </m:r>
            <m:r>
              <w:rPr>
                <w:rFonts w:ascii="Cambria Math" w:hAnsi="Cambria Math"/>
              </w:rPr>
              <m:t>, 1</m:t>
            </m:r>
          </m:sup>
        </m:sSubSup>
        <m:r>
          <w:rPr>
            <w:rFonts w:ascii="Cambria Math" w:hAnsi="Cambria Math"/>
          </w:rPr>
          <m:t>=5</m:t>
        </m:r>
      </m:oMath>
      <w:r>
        <w:t xml:space="preserve"> , the OCC </w:t>
      </w:r>
      <w:r>
        <w:rPr>
          <w:i/>
          <w:iCs/>
        </w:rPr>
        <w:t>w</w:t>
      </w:r>
      <w:r>
        <w:rPr>
          <w:i/>
          <w:iCs/>
          <w:vertAlign w:val="subscript"/>
        </w:rPr>
        <w:t>0</w:t>
      </w:r>
      <w:r>
        <w:t xml:space="preserve">(0, 1, 2, 3, 4) = [1 1 1 1 1]. Since the OCC is composed of only with ones, </w:t>
      </w:r>
      <w:r w:rsidR="00C55101">
        <w:t xml:space="preserve">then </w:t>
      </w:r>
      <w:r w:rsidR="00612C1D">
        <w:t xml:space="preserve">in this case </w:t>
      </w:r>
      <w:r w:rsidR="00C55101">
        <w:t>OCC does not impact the multiplexing of PUCCH transmissions.</w:t>
      </w:r>
      <w:r w:rsidR="00710163">
        <w:t xml:space="preserve"> </w:t>
      </w:r>
      <w:r w:rsidR="00710163">
        <w:rPr>
          <w:rFonts w:eastAsia="Yu Mincho"/>
          <w:lang w:eastAsia="ja-JP"/>
        </w:rPr>
        <w:t xml:space="preserve">Given that OCC with </w:t>
      </w:r>
      <w:r w:rsidR="00710163">
        <w:rPr>
          <w:rFonts w:eastAsia="Yu Mincho"/>
          <w:lang w:eastAsia="ja-JP"/>
        </w:rPr>
        <w:lastRenderedPageBreak/>
        <w:t>index 0 is always used before dedicated PUCCH config</w:t>
      </w:r>
      <w:r w:rsidR="004757D4">
        <w:rPr>
          <w:rFonts w:eastAsia="Yu Mincho"/>
          <w:lang w:eastAsia="ja-JP"/>
        </w:rPr>
        <w:t>uration</w:t>
      </w:r>
      <w:r w:rsidR="00710163">
        <w:rPr>
          <w:rFonts w:eastAsia="Yu Mincho"/>
          <w:lang w:eastAsia="ja-JP"/>
        </w:rPr>
        <w:t xml:space="preserve">, it may not be possible to multiplex PUCCH for UEs </w:t>
      </w:r>
      <w:r w:rsidR="00710163">
        <w:rPr>
          <w:rFonts w:eastAsia="Yu Mincho"/>
          <w:i/>
          <w:iCs/>
          <w:lang w:eastAsia="ja-JP"/>
        </w:rPr>
        <w:t>without dedicated config</w:t>
      </w:r>
      <w:r w:rsidR="00710163">
        <w:rPr>
          <w:rFonts w:eastAsia="Yu Mincho"/>
          <w:lang w:eastAsia="ja-JP"/>
        </w:rPr>
        <w:t xml:space="preserve"> only by relying on</w:t>
      </w:r>
      <w:r w:rsidR="00710163">
        <w:rPr>
          <w:rFonts w:eastAsia="Yu Mincho"/>
          <w:i/>
          <w:iCs/>
          <w:lang w:eastAsia="ja-JP"/>
        </w:rPr>
        <w:t xml:space="preserve"> OCC</w:t>
      </w:r>
      <w:r w:rsidR="00710163">
        <w:rPr>
          <w:rFonts w:eastAsia="Yu Mincho"/>
          <w:lang w:eastAsia="ja-JP"/>
        </w:rPr>
        <w:t>, even in legacy NR. However, it is possible to multiplex PUCCH using different CS of the same base sequence or using different PRBs (or symbols) for PUCCH transmissions.</w:t>
      </w:r>
    </w:p>
    <w:p w14:paraId="015AB9D0" w14:textId="79519CBA" w:rsidR="00861DE9" w:rsidRDefault="00995E48" w:rsidP="00192F86">
      <w:pPr>
        <w:jc w:val="both"/>
        <w:rPr>
          <w:rFonts w:eastAsia="Yu Mincho"/>
          <w:lang w:eastAsia="ja-JP"/>
        </w:rPr>
      </w:pPr>
      <w:r>
        <w:rPr>
          <w:rFonts w:eastAsia="Yu Mincho"/>
          <w:lang w:eastAsia="ja-JP"/>
        </w:rPr>
        <w:t xml:space="preserve">Based on the above discussions, </w:t>
      </w:r>
      <w:r w:rsidR="00804FF6">
        <w:rPr>
          <w:rFonts w:eastAsia="Yu Mincho"/>
          <w:lang w:eastAsia="ja-JP"/>
        </w:rPr>
        <w:t>there is no concern on multiplexing of</w:t>
      </w:r>
      <w:r>
        <w:rPr>
          <w:rFonts w:eastAsia="Yu Mincho"/>
          <w:lang w:eastAsia="ja-JP"/>
        </w:rPr>
        <w:t xml:space="preserve"> </w:t>
      </w:r>
      <w:r w:rsidR="00861DE9">
        <w:rPr>
          <w:rFonts w:eastAsia="Yu Mincho"/>
          <w:lang w:eastAsia="ja-JP"/>
        </w:rPr>
        <w:t>PUCCH without FH for RedCap UEs before dedicated config</w:t>
      </w:r>
      <w:r>
        <w:rPr>
          <w:rFonts w:eastAsia="Yu Mincho"/>
          <w:lang w:eastAsia="ja-JP"/>
        </w:rPr>
        <w:t>uration</w:t>
      </w:r>
      <w:r w:rsidR="00861DE9">
        <w:rPr>
          <w:rFonts w:eastAsia="Yu Mincho"/>
          <w:lang w:eastAsia="ja-JP"/>
        </w:rPr>
        <w:t xml:space="preserve"> and PUCCH with and without FH for RedCap/non-RedCap UEs</w:t>
      </w:r>
      <w:r w:rsidR="004757D4">
        <w:rPr>
          <w:rFonts w:eastAsia="Yu Mincho"/>
          <w:lang w:eastAsia="ja-JP"/>
        </w:rPr>
        <w:t xml:space="preserve">. </w:t>
      </w:r>
    </w:p>
    <w:p w14:paraId="1CAD6F8F" w14:textId="04544D45" w:rsidR="004757D4" w:rsidRDefault="004757D4" w:rsidP="004757D4">
      <w:pPr>
        <w:pStyle w:val="Observation"/>
      </w:pPr>
      <w:bookmarkStart w:id="19" w:name="_Toc87060607"/>
      <w:r w:rsidRPr="004757D4">
        <w:t xml:space="preserve">According to TS 38.213, </w:t>
      </w:r>
      <w:r>
        <w:t>a</w:t>
      </w:r>
      <w:r w:rsidRPr="004757D4">
        <w:t>n orthogonal cover code</w:t>
      </w:r>
      <w:r>
        <w:t xml:space="preserve"> (OCC)</w:t>
      </w:r>
      <w:r w:rsidRPr="004757D4">
        <w:t xml:space="preserve"> with index 0 is used for a PUCCH resource with PUCCH </w:t>
      </w:r>
      <w:r>
        <w:t>F</w:t>
      </w:r>
      <w:r w:rsidRPr="004757D4">
        <w:t>ormat 1 in Table 9.2.1-1.</w:t>
      </w:r>
      <w:bookmarkEnd w:id="19"/>
    </w:p>
    <w:p w14:paraId="31250FD5" w14:textId="6028971C" w:rsidR="00F2398D" w:rsidRDefault="007E295A" w:rsidP="004757D4">
      <w:pPr>
        <w:pStyle w:val="Observation"/>
      </w:pPr>
      <w:bookmarkStart w:id="20" w:name="_Toc87060608"/>
      <w:r>
        <w:t xml:space="preserve">For </w:t>
      </w:r>
      <w:r w:rsidRPr="007E295A">
        <w:t>OCC with index 0 (PUCCH Format 1), the elements of OCC will be only ones</w:t>
      </w:r>
      <w:r>
        <w:t xml:space="preserve"> thus OCC does not impact the multiplexing of PUCCH transmissions</w:t>
      </w:r>
      <w:r w:rsidRPr="007E295A">
        <w:t>.</w:t>
      </w:r>
      <w:bookmarkEnd w:id="20"/>
      <w:r>
        <w:t xml:space="preserve"> </w:t>
      </w:r>
    </w:p>
    <w:p w14:paraId="1039F853" w14:textId="5255124A" w:rsidR="007E295A" w:rsidRPr="00842A31" w:rsidRDefault="00842A31" w:rsidP="004757D4">
      <w:pPr>
        <w:pStyle w:val="Observation"/>
      </w:pPr>
      <w:bookmarkStart w:id="21" w:name="_Toc87060609"/>
      <w:r>
        <w:t xml:space="preserve">Multiplexing of PUCCH transmissions (with or without FH) can be done </w:t>
      </w:r>
      <w:r>
        <w:rPr>
          <w:szCs w:val="20"/>
        </w:rPr>
        <w:t>by using different time symbols, PRBs, and different cyclic shifts (CS) in time domain.</w:t>
      </w:r>
      <w:bookmarkEnd w:id="21"/>
    </w:p>
    <w:p w14:paraId="533C80D0" w14:textId="4C282BEE" w:rsidR="00842A31" w:rsidRDefault="00D03C83" w:rsidP="00842A31">
      <w:pPr>
        <w:pStyle w:val="Proposal"/>
      </w:pPr>
      <w:bookmarkStart w:id="22" w:name="_Toc87060624"/>
      <w:r>
        <w:t xml:space="preserve">There is no need for </w:t>
      </w:r>
      <w:r w:rsidRPr="00D03C83">
        <w:t>any</w:t>
      </w:r>
      <w:r>
        <w:t xml:space="preserve"> enhancements or</w:t>
      </w:r>
      <w:r w:rsidRPr="00D03C83">
        <w:t xml:space="preserve"> specification changes in order to support multiplexing of non-FH and FH PUCCH transmissions in PUCCH resources.</w:t>
      </w:r>
      <w:bookmarkEnd w:id="22"/>
    </w:p>
    <w:p w14:paraId="1D4DE2B8" w14:textId="77777777" w:rsidR="00E12DC8" w:rsidRDefault="00E12DC8" w:rsidP="00106FB9">
      <w:pPr>
        <w:pStyle w:val="Observation"/>
        <w:numPr>
          <w:ilvl w:val="0"/>
          <w:numId w:val="0"/>
        </w:numPr>
      </w:pPr>
    </w:p>
    <w:p w14:paraId="32F4EEC8" w14:textId="3D192F3C" w:rsidR="00424736" w:rsidRPr="00FA01B7" w:rsidRDefault="00C371F9" w:rsidP="00FA01B7">
      <w:pPr>
        <w:pStyle w:val="Heading1"/>
        <w:rPr>
          <w:lang w:val="en-US"/>
        </w:rPr>
      </w:pPr>
      <w:r>
        <w:rPr>
          <w:lang w:val="en-US"/>
        </w:rPr>
        <w:t>3</w:t>
      </w:r>
      <w:r w:rsidR="00B8193D">
        <w:rPr>
          <w:lang w:val="en-US"/>
        </w:rPr>
        <w:tab/>
      </w:r>
      <w:r w:rsidR="0037497D">
        <w:rPr>
          <w:lang w:val="en-US"/>
        </w:rPr>
        <w:t xml:space="preserve">Initial and </w:t>
      </w:r>
      <w:r w:rsidR="00331F74">
        <w:rPr>
          <w:lang w:val="en-US"/>
        </w:rPr>
        <w:t>RRC-configured</w:t>
      </w:r>
      <w:r w:rsidR="0037497D">
        <w:rPr>
          <w:lang w:val="en-US"/>
        </w:rPr>
        <w:t xml:space="preserve"> </w:t>
      </w:r>
      <w:r w:rsidR="00B8193D">
        <w:rPr>
          <w:lang w:val="en-US"/>
        </w:rPr>
        <w:t>DL BWP</w:t>
      </w:r>
      <w:r w:rsidR="0037497D">
        <w:rPr>
          <w:lang w:val="en-US"/>
        </w:rPr>
        <w:t>s</w:t>
      </w:r>
    </w:p>
    <w:p w14:paraId="7782A15E" w14:textId="6A0AA00B" w:rsidR="00EB29C3" w:rsidRDefault="00B02755" w:rsidP="00106FB9">
      <w:pPr>
        <w:pStyle w:val="ArialText"/>
      </w:pPr>
      <w:r>
        <w:t xml:space="preserve">Regarding initial and RRC-configured DL BWPs for RedCap, three key open issues are: 1) Configuration of a separate initial DL BWP, 2) </w:t>
      </w:r>
      <w:r w:rsidR="003706A3">
        <w:t xml:space="preserve">UL/DL center frequency in TDD, and 3) SSB presence in a DL BWP. </w:t>
      </w:r>
    </w:p>
    <w:p w14:paraId="5CAD4629" w14:textId="7C00290D" w:rsidR="005B18D2" w:rsidRDefault="004479D9" w:rsidP="00F2471D">
      <w:pPr>
        <w:pStyle w:val="ArialText"/>
      </w:pPr>
      <w:r>
        <w:t>Here, we provide our view on the</w:t>
      </w:r>
      <w:r w:rsidR="00251F50">
        <w:t xml:space="preserve"> most</w:t>
      </w:r>
      <w:r>
        <w:t xml:space="preserve"> important aspects of </w:t>
      </w:r>
      <w:r w:rsidR="006A75D3">
        <w:t xml:space="preserve">initial and RRC-configured </w:t>
      </w:r>
      <w:r>
        <w:t>DL BWP</w:t>
      </w:r>
      <w:r w:rsidR="006A75D3">
        <w:t>s</w:t>
      </w:r>
      <w:r>
        <w:t xml:space="preserve"> for RedCap.</w:t>
      </w:r>
    </w:p>
    <w:p w14:paraId="505D3EE2" w14:textId="551C8914" w:rsidR="00982C64" w:rsidRPr="00F8726E" w:rsidRDefault="00A73563" w:rsidP="00982C64">
      <w:pPr>
        <w:pStyle w:val="Heading2"/>
      </w:pPr>
      <w:r>
        <w:t>3</w:t>
      </w:r>
      <w:r w:rsidR="00982C64" w:rsidRPr="00AA3123">
        <w:t>.</w:t>
      </w:r>
      <w:r w:rsidR="00982C64">
        <w:t>1</w:t>
      </w:r>
      <w:r w:rsidR="00982C64">
        <w:tab/>
        <w:t>Separate initial DL BWP</w:t>
      </w:r>
    </w:p>
    <w:p w14:paraId="000579BC" w14:textId="77777777" w:rsidR="00C42E53" w:rsidRDefault="0029333B" w:rsidP="0029333B">
      <w:pPr>
        <w:pStyle w:val="ArialText"/>
        <w:rPr>
          <w:szCs w:val="20"/>
        </w:rPr>
      </w:pPr>
      <w:r>
        <w:rPr>
          <w:szCs w:val="20"/>
        </w:rPr>
        <w:t>U</w:t>
      </w:r>
      <w:r w:rsidRPr="00E23850">
        <w:rPr>
          <w:szCs w:val="20"/>
        </w:rPr>
        <w:t xml:space="preserve">sing </w:t>
      </w:r>
      <w:r>
        <w:rPr>
          <w:szCs w:val="20"/>
        </w:rPr>
        <w:t>a</w:t>
      </w:r>
      <w:r w:rsidRPr="00E23850">
        <w:rPr>
          <w:szCs w:val="20"/>
        </w:rPr>
        <w:t xml:space="preserve"> separate </w:t>
      </w:r>
      <w:r>
        <w:rPr>
          <w:szCs w:val="20"/>
        </w:rPr>
        <w:t xml:space="preserve">SIB-configured </w:t>
      </w:r>
      <w:r w:rsidRPr="00E23850">
        <w:rPr>
          <w:szCs w:val="20"/>
        </w:rPr>
        <w:t xml:space="preserve">initial DL BWP for RedCap </w:t>
      </w:r>
      <w:r>
        <w:rPr>
          <w:szCs w:val="20"/>
        </w:rPr>
        <w:t>is important for an efficient coexistence of RedCap and non-RedCap UEs and it provides</w:t>
      </w:r>
      <w:r w:rsidRPr="00E23850">
        <w:rPr>
          <w:szCs w:val="20"/>
        </w:rPr>
        <w:t xml:space="preserve"> flexibility and offloading </w:t>
      </w:r>
      <w:r>
        <w:rPr>
          <w:szCs w:val="20"/>
        </w:rPr>
        <w:t>benefits</w:t>
      </w:r>
      <w:r w:rsidRPr="00E23850">
        <w:rPr>
          <w:szCs w:val="20"/>
        </w:rPr>
        <w:t>.</w:t>
      </w:r>
      <w:r>
        <w:t xml:space="preserve"> In particular</w:t>
      </w:r>
      <w:r>
        <w:rPr>
          <w:szCs w:val="20"/>
        </w:rPr>
        <w:t xml:space="preserve">, while preventing the PUSCH resource fragmentation, if the UL/DL center frequency alignment is preferred, it is essential to have </w:t>
      </w:r>
      <w:r w:rsidRPr="00E23850">
        <w:rPr>
          <w:szCs w:val="20"/>
        </w:rPr>
        <w:t>the possibility of configuring a separate or additional bandwidth and location for initial DL BWP for RedCap UEs</w:t>
      </w:r>
      <w:r>
        <w:rPr>
          <w:szCs w:val="20"/>
        </w:rPr>
        <w:t xml:space="preserve">. </w:t>
      </w:r>
    </w:p>
    <w:p w14:paraId="31D48371" w14:textId="51D8AA2E" w:rsidR="0029333B" w:rsidRDefault="0029333B" w:rsidP="0029333B">
      <w:pPr>
        <w:pStyle w:val="ArialText"/>
      </w:pPr>
      <w:r>
        <w:t>Related to configuring/defining a separate initial DL BWP for RedCap UEs, we have the following working assumption in RAN1#105-e:</w:t>
      </w:r>
    </w:p>
    <w:tbl>
      <w:tblPr>
        <w:tblW w:w="9629" w:type="dxa"/>
        <w:tblCellMar>
          <w:left w:w="0" w:type="dxa"/>
          <w:right w:w="0" w:type="dxa"/>
        </w:tblCellMar>
        <w:tblLook w:val="04A0" w:firstRow="1" w:lastRow="0" w:firstColumn="1" w:lastColumn="0" w:noHBand="0" w:noVBand="1"/>
      </w:tblPr>
      <w:tblGrid>
        <w:gridCol w:w="9629"/>
      </w:tblGrid>
      <w:tr w:rsidR="0029333B" w:rsidRPr="004E4A74" w14:paraId="40FB15E4" w14:textId="77777777" w:rsidTr="004204CE">
        <w:tc>
          <w:tcPr>
            <w:tcW w:w="9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C35A45" w14:textId="77777777" w:rsidR="0029333B" w:rsidRPr="004E4A74" w:rsidRDefault="0029333B" w:rsidP="004204CE">
            <w:pPr>
              <w:spacing w:after="0" w:line="240" w:lineRule="auto"/>
              <w:rPr>
                <w:rFonts w:ascii="Times" w:eastAsia="Batang" w:hAnsi="Times" w:cs="Times New Roman"/>
                <w:szCs w:val="20"/>
                <w:lang w:val="en-GB"/>
              </w:rPr>
            </w:pPr>
            <w:bookmarkStart w:id="23" w:name="_Hlk83024166"/>
            <w:r w:rsidRPr="004E4A74">
              <w:rPr>
                <w:rFonts w:ascii="Times" w:eastAsia="Batang" w:hAnsi="Times" w:cs="Times New Roman"/>
                <w:szCs w:val="20"/>
                <w:highlight w:val="darkYellow"/>
                <w:lang w:val="en-GB"/>
              </w:rPr>
              <w:t>Working assumption:</w:t>
            </w:r>
          </w:p>
          <w:p w14:paraId="216AE934" w14:textId="77777777" w:rsidR="0029333B" w:rsidRPr="004E4A74" w:rsidRDefault="0029333B" w:rsidP="004204CE">
            <w:pPr>
              <w:numPr>
                <w:ilvl w:val="0"/>
                <w:numId w:val="15"/>
              </w:numPr>
              <w:spacing w:after="0" w:line="252" w:lineRule="auto"/>
              <w:rPr>
                <w:rFonts w:ascii="Times" w:eastAsia="Batang" w:hAnsi="Times" w:cs="Times New Roman"/>
                <w:szCs w:val="20"/>
                <w:lang w:val="en-GB"/>
              </w:rPr>
            </w:pPr>
            <w:r w:rsidRPr="004E4A74">
              <w:rPr>
                <w:rFonts w:ascii="Times" w:eastAsia="Batang" w:hAnsi="Times" w:cs="Times New Roman"/>
                <w:szCs w:val="20"/>
                <w:lang w:val="en-GB"/>
              </w:rPr>
              <w:t>At least for TDD, an initial DL BWP for RedCap UEs (which is not expected to exceed the maximum RedCap UE bandwidth) can be optionally configured/defined separately from the initial DL BWP for non-RedCap UEs at least after initial access</w:t>
            </w:r>
          </w:p>
          <w:p w14:paraId="1D812518" w14:textId="77777777" w:rsidR="0029333B" w:rsidRPr="004E4A74" w:rsidRDefault="0029333B" w:rsidP="004204CE">
            <w:pPr>
              <w:numPr>
                <w:ilvl w:val="1"/>
                <w:numId w:val="15"/>
              </w:numPr>
              <w:autoSpaceDN w:val="0"/>
              <w:spacing w:after="0" w:line="252" w:lineRule="auto"/>
              <w:contextualSpacing/>
              <w:rPr>
                <w:rFonts w:ascii="Times" w:eastAsia="Batang" w:hAnsi="Times" w:cs="Times"/>
                <w:szCs w:val="20"/>
                <w:lang w:val="en-GB" w:eastAsia="x-none"/>
              </w:rPr>
            </w:pPr>
            <w:r w:rsidRPr="004E4A74">
              <w:rPr>
                <w:rFonts w:ascii="Times" w:eastAsia="Batang" w:hAnsi="Times" w:cs="Times"/>
                <w:szCs w:val="20"/>
                <w:highlight w:val="yellow"/>
                <w:lang w:val="en-GB" w:eastAsia="x-none"/>
              </w:rPr>
              <w:t>FFS</w:t>
            </w:r>
            <w:r w:rsidRPr="004E4A74">
              <w:rPr>
                <w:rFonts w:ascii="Times" w:eastAsia="Batang" w:hAnsi="Times" w:cs="Times"/>
                <w:szCs w:val="20"/>
                <w:lang w:val="en-GB" w:eastAsia="x-none"/>
              </w:rPr>
              <w:t xml:space="preserve"> the details of the configuration/definition</w:t>
            </w:r>
          </w:p>
          <w:p w14:paraId="7E78BBD8" w14:textId="77777777" w:rsidR="0029333B" w:rsidRPr="004E4A74" w:rsidRDefault="0029333B" w:rsidP="004204CE">
            <w:pPr>
              <w:numPr>
                <w:ilvl w:val="2"/>
                <w:numId w:val="15"/>
              </w:numPr>
              <w:autoSpaceDN w:val="0"/>
              <w:spacing w:after="0" w:line="252" w:lineRule="auto"/>
              <w:contextualSpacing/>
              <w:rPr>
                <w:rFonts w:ascii="Times" w:eastAsia="Batang" w:hAnsi="Times" w:cs="Times"/>
                <w:szCs w:val="20"/>
                <w:lang w:val="en-GB" w:eastAsia="x-none"/>
              </w:rPr>
            </w:pPr>
            <w:r w:rsidRPr="004E4A74">
              <w:rPr>
                <w:rFonts w:ascii="Times" w:eastAsia="Batang" w:hAnsi="Times" w:cs="Times"/>
                <w:szCs w:val="20"/>
                <w:lang w:val="en-GB" w:eastAsia="x-none"/>
              </w:rPr>
              <w:t xml:space="preserve">The configuration for a separately configured initial DL BWP for RedCap UEs is </w:t>
            </w:r>
            <w:proofErr w:type="spellStart"/>
            <w:r w:rsidRPr="004E4A74">
              <w:rPr>
                <w:rFonts w:ascii="Times" w:eastAsia="Batang" w:hAnsi="Times" w:cs="Times"/>
                <w:szCs w:val="20"/>
                <w:lang w:val="en-GB" w:eastAsia="x-none"/>
              </w:rPr>
              <w:t>signaled</w:t>
            </w:r>
            <w:proofErr w:type="spellEnd"/>
            <w:r w:rsidRPr="004E4A74">
              <w:rPr>
                <w:rFonts w:ascii="Times" w:eastAsia="Batang" w:hAnsi="Times" w:cs="Times"/>
                <w:szCs w:val="20"/>
                <w:lang w:val="en-GB" w:eastAsia="x-none"/>
              </w:rPr>
              <w:t xml:space="preserve"> in SIB.</w:t>
            </w:r>
          </w:p>
          <w:p w14:paraId="78CB3B29" w14:textId="77777777" w:rsidR="0029333B" w:rsidRPr="004E4A74" w:rsidRDefault="0029333B" w:rsidP="004204CE">
            <w:pPr>
              <w:numPr>
                <w:ilvl w:val="2"/>
                <w:numId w:val="15"/>
              </w:numPr>
              <w:autoSpaceDN w:val="0"/>
              <w:spacing w:after="0" w:line="252" w:lineRule="auto"/>
              <w:contextualSpacing/>
              <w:rPr>
                <w:rFonts w:ascii="Times" w:eastAsia="Batang" w:hAnsi="Times" w:cs="Times"/>
                <w:szCs w:val="20"/>
                <w:lang w:val="en-GB" w:eastAsia="x-none"/>
              </w:rPr>
            </w:pPr>
            <w:r w:rsidRPr="004E4A74">
              <w:rPr>
                <w:rFonts w:ascii="Times" w:eastAsia="Batang" w:hAnsi="Times" w:cs="Times"/>
                <w:szCs w:val="20"/>
                <w:lang w:val="en-GB" w:eastAsia="x-none"/>
              </w:rPr>
              <w:t xml:space="preserve">whether to support that separate initial DL BWP for RedCap UEs can include a configuration of CORESET and CSS(s) </w:t>
            </w:r>
          </w:p>
          <w:p w14:paraId="27A9911A" w14:textId="77777777" w:rsidR="0029333B" w:rsidRPr="004E4A74" w:rsidRDefault="0029333B" w:rsidP="004204CE">
            <w:pPr>
              <w:numPr>
                <w:ilvl w:val="2"/>
                <w:numId w:val="15"/>
              </w:numPr>
              <w:autoSpaceDN w:val="0"/>
              <w:spacing w:after="0" w:line="252" w:lineRule="auto"/>
              <w:contextualSpacing/>
              <w:rPr>
                <w:rFonts w:ascii="Times" w:eastAsia="Batang" w:hAnsi="Times" w:cs="Times"/>
                <w:szCs w:val="20"/>
                <w:lang w:val="en-GB" w:eastAsia="x-none"/>
              </w:rPr>
            </w:pPr>
            <w:r w:rsidRPr="004E4A74">
              <w:rPr>
                <w:rFonts w:ascii="Times" w:eastAsia="Batang" w:hAnsi="Times" w:cs="Times"/>
                <w:szCs w:val="20"/>
                <w:lang w:val="en-GB" w:eastAsia="x-none"/>
              </w:rPr>
              <w:t xml:space="preserve">whether part of the configuration can be defined instead of </w:t>
            </w:r>
            <w:proofErr w:type="spellStart"/>
            <w:r w:rsidRPr="004E4A74">
              <w:rPr>
                <w:rFonts w:ascii="Times" w:eastAsia="Batang" w:hAnsi="Times" w:cs="Times"/>
                <w:szCs w:val="20"/>
                <w:lang w:val="en-GB" w:eastAsia="x-none"/>
              </w:rPr>
              <w:t>signaled</w:t>
            </w:r>
            <w:proofErr w:type="spellEnd"/>
          </w:p>
          <w:p w14:paraId="2F305A01" w14:textId="77777777" w:rsidR="0029333B" w:rsidRPr="004E4A74" w:rsidRDefault="0029333B" w:rsidP="004204CE">
            <w:pPr>
              <w:numPr>
                <w:ilvl w:val="1"/>
                <w:numId w:val="15"/>
              </w:numPr>
              <w:autoSpaceDN w:val="0"/>
              <w:spacing w:after="0" w:line="252" w:lineRule="auto"/>
              <w:contextualSpacing/>
              <w:rPr>
                <w:rFonts w:ascii="Times" w:eastAsia="Batang" w:hAnsi="Times" w:cs="Times"/>
                <w:szCs w:val="20"/>
                <w:lang w:val="en-GB" w:eastAsia="x-none"/>
              </w:rPr>
            </w:pPr>
            <w:r w:rsidRPr="004E4A74">
              <w:rPr>
                <w:rFonts w:ascii="Times" w:eastAsia="Batang" w:hAnsi="Times" w:cs="Times"/>
                <w:szCs w:val="20"/>
                <w:lang w:val="en-GB" w:eastAsia="x-none"/>
              </w:rPr>
              <w:t>If a separate initial DL BWP for RedCap UEs is configured/defined, this separate initial DL BWP for RedCap UEs can be used at least after initial access (i.e., at least after RRC Setup, RRC Resume, or RRC Reestablishment).</w:t>
            </w:r>
          </w:p>
          <w:p w14:paraId="6CF99DBF" w14:textId="77777777" w:rsidR="0029333B" w:rsidRPr="004E4A74" w:rsidRDefault="0029333B" w:rsidP="004204CE">
            <w:pPr>
              <w:numPr>
                <w:ilvl w:val="2"/>
                <w:numId w:val="15"/>
              </w:numPr>
              <w:autoSpaceDN w:val="0"/>
              <w:spacing w:after="0" w:line="252" w:lineRule="auto"/>
              <w:contextualSpacing/>
              <w:rPr>
                <w:rFonts w:ascii="Times" w:eastAsia="Batang" w:hAnsi="Times" w:cs="Times"/>
                <w:szCs w:val="20"/>
                <w:lang w:val="en-GB" w:eastAsia="x-none"/>
              </w:rPr>
            </w:pPr>
            <w:r w:rsidRPr="004E4A74">
              <w:rPr>
                <w:rFonts w:ascii="Times" w:eastAsia="Batang" w:hAnsi="Times" w:cs="Times"/>
                <w:szCs w:val="20"/>
                <w:lang w:val="en-GB" w:eastAsia="x-none"/>
              </w:rPr>
              <w:t>FFS during the initial access</w:t>
            </w:r>
          </w:p>
          <w:p w14:paraId="3F2589DE" w14:textId="77777777" w:rsidR="0029333B" w:rsidRPr="004E4A74" w:rsidRDefault="0029333B" w:rsidP="004204CE">
            <w:pPr>
              <w:numPr>
                <w:ilvl w:val="1"/>
                <w:numId w:val="15"/>
              </w:numPr>
              <w:autoSpaceDN w:val="0"/>
              <w:spacing w:after="0" w:line="252" w:lineRule="auto"/>
              <w:contextualSpacing/>
              <w:rPr>
                <w:rFonts w:ascii="Times" w:eastAsia="Batang" w:hAnsi="Times" w:cs="Times"/>
                <w:szCs w:val="20"/>
                <w:lang w:val="en-GB" w:eastAsia="x-none"/>
              </w:rPr>
            </w:pPr>
            <w:r w:rsidRPr="004E4A74">
              <w:rPr>
                <w:rFonts w:ascii="Times" w:eastAsia="Batang" w:hAnsi="Times" w:cs="Times"/>
                <w:szCs w:val="20"/>
                <w:highlight w:val="yellow"/>
                <w:lang w:val="en-GB" w:eastAsia="x-none"/>
              </w:rPr>
              <w:t>FFS:</w:t>
            </w:r>
            <w:r w:rsidRPr="004E4A74">
              <w:rPr>
                <w:rFonts w:ascii="Times" w:eastAsia="Batang" w:hAnsi="Times" w:cs="Times"/>
                <w:szCs w:val="20"/>
                <w:lang w:val="en-GB" w:eastAsia="x-none"/>
              </w:rPr>
              <w:t xml:space="preserve"> whether a separately configured initial DL BWP for RedCap UEs needs to contain the entire CORESET #0, and, if not, the Redcap UE behaviour for CORESET #0 monitoring</w:t>
            </w:r>
          </w:p>
          <w:p w14:paraId="1E26EFA1" w14:textId="77777777" w:rsidR="0029333B" w:rsidRPr="004E4A74" w:rsidRDefault="0029333B" w:rsidP="004204CE">
            <w:pPr>
              <w:numPr>
                <w:ilvl w:val="1"/>
                <w:numId w:val="15"/>
              </w:numPr>
              <w:autoSpaceDN w:val="0"/>
              <w:spacing w:after="0" w:line="252" w:lineRule="auto"/>
              <w:contextualSpacing/>
              <w:rPr>
                <w:rFonts w:ascii="Times" w:eastAsia="Batang" w:hAnsi="Times" w:cs="Times"/>
                <w:szCs w:val="20"/>
                <w:lang w:val="en-GB" w:eastAsia="x-none"/>
              </w:rPr>
            </w:pPr>
            <w:r w:rsidRPr="004E4A74">
              <w:rPr>
                <w:rFonts w:ascii="Times" w:eastAsia="Batang" w:hAnsi="Times" w:cs="Times"/>
                <w:szCs w:val="20"/>
                <w:lang w:val="en-GB" w:eastAsia="x-none"/>
              </w:rPr>
              <w:t>FFS: supported bandwidths in the separate initial DL BWP</w:t>
            </w:r>
          </w:p>
          <w:p w14:paraId="56C3AF21" w14:textId="77777777" w:rsidR="0029333B" w:rsidRPr="004E4A74" w:rsidRDefault="0029333B" w:rsidP="004204CE">
            <w:pPr>
              <w:numPr>
                <w:ilvl w:val="1"/>
                <w:numId w:val="15"/>
              </w:numPr>
              <w:autoSpaceDN w:val="0"/>
              <w:spacing w:after="0" w:line="252" w:lineRule="auto"/>
              <w:contextualSpacing/>
              <w:rPr>
                <w:rFonts w:ascii="Times" w:eastAsia="Batang" w:hAnsi="Times" w:cs="Times"/>
                <w:szCs w:val="20"/>
                <w:lang w:val="en-GB" w:eastAsia="x-none"/>
              </w:rPr>
            </w:pPr>
            <w:r w:rsidRPr="004E4A74">
              <w:rPr>
                <w:rFonts w:ascii="Times" w:eastAsia="Batang" w:hAnsi="Times" w:cs="Times"/>
                <w:szCs w:val="20"/>
                <w:lang w:val="en-GB" w:eastAsia="x-none"/>
              </w:rPr>
              <w:t>FFS: whether additional SSB is transmitted in the separately configured initial DL BWP for RedCap UEs</w:t>
            </w:r>
          </w:p>
          <w:p w14:paraId="2C22754F" w14:textId="77777777" w:rsidR="0029333B" w:rsidRPr="004E4A74" w:rsidRDefault="0029333B" w:rsidP="004204CE">
            <w:pPr>
              <w:numPr>
                <w:ilvl w:val="1"/>
                <w:numId w:val="15"/>
              </w:numPr>
              <w:autoSpaceDN w:val="0"/>
              <w:spacing w:after="0" w:line="252" w:lineRule="auto"/>
              <w:contextualSpacing/>
              <w:rPr>
                <w:rFonts w:ascii="Times" w:eastAsia="Batang" w:hAnsi="Times" w:cs="Times"/>
                <w:szCs w:val="20"/>
                <w:lang w:val="sv-SE" w:eastAsia="x-none"/>
              </w:rPr>
            </w:pPr>
            <w:r w:rsidRPr="004E4A74">
              <w:rPr>
                <w:rFonts w:ascii="Times" w:eastAsia="Batang" w:hAnsi="Times" w:cs="Times"/>
                <w:szCs w:val="20"/>
                <w:lang w:val="sv-SE" w:eastAsia="x-none"/>
              </w:rPr>
              <w:t>FFS: FDD case</w:t>
            </w:r>
          </w:p>
        </w:tc>
      </w:tr>
      <w:bookmarkEnd w:id="23"/>
    </w:tbl>
    <w:p w14:paraId="71F3F08C" w14:textId="313F03A6" w:rsidR="00EB29C3" w:rsidRDefault="00EB29C3" w:rsidP="00F2471D">
      <w:pPr>
        <w:pStyle w:val="ArialText"/>
      </w:pPr>
    </w:p>
    <w:p w14:paraId="53D934E2" w14:textId="7B839C86" w:rsidR="00A52175" w:rsidRDefault="00A52175" w:rsidP="00A52175">
      <w:pPr>
        <w:pStyle w:val="ArialText"/>
      </w:pPr>
      <w:r>
        <w:t>The working assumptions from RAN1#106-bis-e are as follows:</w:t>
      </w:r>
    </w:p>
    <w:tbl>
      <w:tblPr>
        <w:tblW w:w="9629" w:type="dxa"/>
        <w:tblCellMar>
          <w:left w:w="0" w:type="dxa"/>
          <w:right w:w="0" w:type="dxa"/>
        </w:tblCellMar>
        <w:tblLook w:val="04A0" w:firstRow="1" w:lastRow="0" w:firstColumn="1" w:lastColumn="0" w:noHBand="0" w:noVBand="1"/>
      </w:tblPr>
      <w:tblGrid>
        <w:gridCol w:w="9629"/>
      </w:tblGrid>
      <w:tr w:rsidR="00A52175" w:rsidRPr="00E916C2" w14:paraId="38F7DA87" w14:textId="77777777" w:rsidTr="004204CE">
        <w:tc>
          <w:tcPr>
            <w:tcW w:w="9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CEB411" w14:textId="77777777" w:rsidR="00A52175" w:rsidRPr="00EC1D88" w:rsidRDefault="00A52175" w:rsidP="004204CE">
            <w:pPr>
              <w:spacing w:after="0" w:line="240" w:lineRule="auto"/>
              <w:rPr>
                <w:rFonts w:ascii="Times" w:eastAsia="Batang" w:hAnsi="Times" w:cs="Times New Roman"/>
                <w:szCs w:val="24"/>
                <w:highlight w:val="darkYellow"/>
                <w:lang w:val="en-GB"/>
              </w:rPr>
            </w:pPr>
            <w:r w:rsidRPr="00EC1D88">
              <w:rPr>
                <w:rFonts w:ascii="Times" w:eastAsia="Batang" w:hAnsi="Times" w:cs="Times New Roman"/>
                <w:szCs w:val="24"/>
                <w:highlight w:val="darkYellow"/>
                <w:lang w:val="en-GB"/>
              </w:rPr>
              <w:t>Working Assumption:</w:t>
            </w:r>
          </w:p>
          <w:p w14:paraId="6ADED494" w14:textId="77777777" w:rsidR="00A52175" w:rsidRPr="00EC1D88" w:rsidRDefault="00A52175" w:rsidP="004204CE">
            <w:pPr>
              <w:numPr>
                <w:ilvl w:val="0"/>
                <w:numId w:val="15"/>
              </w:numPr>
              <w:autoSpaceDN w:val="0"/>
              <w:spacing w:after="0" w:line="252" w:lineRule="auto"/>
              <w:contextualSpacing/>
              <w:rPr>
                <w:rFonts w:ascii="Times New Roman" w:eastAsia="Batang" w:hAnsi="Times New Roman" w:cs="Times New Roman"/>
                <w:szCs w:val="20"/>
              </w:rPr>
            </w:pPr>
            <w:r w:rsidRPr="00EC1D88">
              <w:rPr>
                <w:rFonts w:ascii="Times New Roman" w:eastAsia="Batang" w:hAnsi="Times New Roman" w:cs="Times New Roman"/>
                <w:szCs w:val="20"/>
              </w:rPr>
              <w:t>For a cell that allows a RedCap UE to access, network can configure a separate initial DL BWP for RedCap UEs in SIB.</w:t>
            </w:r>
          </w:p>
          <w:p w14:paraId="018E1AE5" w14:textId="77777777" w:rsidR="00A52175" w:rsidRPr="00EC1D88" w:rsidRDefault="00A52175" w:rsidP="004204CE">
            <w:pPr>
              <w:numPr>
                <w:ilvl w:val="1"/>
                <w:numId w:val="15"/>
              </w:numPr>
              <w:autoSpaceDN w:val="0"/>
              <w:spacing w:after="0" w:line="252" w:lineRule="auto"/>
              <w:contextualSpacing/>
              <w:rPr>
                <w:rFonts w:ascii="Times New Roman" w:eastAsia="Batang" w:hAnsi="Times New Roman" w:cs="Times New Roman"/>
                <w:szCs w:val="20"/>
                <w:lang w:val="en-GB"/>
              </w:rPr>
            </w:pPr>
            <w:r w:rsidRPr="00EC1D88">
              <w:rPr>
                <w:rFonts w:ascii="Times New Roman" w:eastAsia="Batang" w:hAnsi="Times New Roman" w:cs="Times New Roman"/>
                <w:szCs w:val="20"/>
                <w:highlight w:val="darkYellow"/>
                <w:lang w:val="en-GB"/>
              </w:rPr>
              <w:t>Working assumption:</w:t>
            </w:r>
            <w:r w:rsidRPr="00EC1D88">
              <w:rPr>
                <w:rFonts w:ascii="Times New Roman" w:eastAsia="Batang" w:hAnsi="Times New Roman" w:cs="Times New Roman"/>
                <w:szCs w:val="20"/>
                <w:lang w:val="en-GB"/>
              </w:rPr>
              <w:t xml:space="preserve"> It can be used during initial access</w:t>
            </w:r>
          </w:p>
          <w:p w14:paraId="43AA70AC" w14:textId="77777777" w:rsidR="00A52175" w:rsidRPr="00EC1D88" w:rsidRDefault="00A52175" w:rsidP="004204CE">
            <w:pPr>
              <w:numPr>
                <w:ilvl w:val="1"/>
                <w:numId w:val="15"/>
              </w:numPr>
              <w:autoSpaceDN w:val="0"/>
              <w:spacing w:after="0" w:line="252" w:lineRule="auto"/>
              <w:contextualSpacing/>
              <w:rPr>
                <w:rFonts w:ascii="Times New Roman" w:eastAsia="Batang" w:hAnsi="Times New Roman" w:cs="Times New Roman"/>
                <w:szCs w:val="20"/>
                <w:lang w:val="en-GB"/>
              </w:rPr>
            </w:pPr>
            <w:r w:rsidRPr="00EC1D88">
              <w:rPr>
                <w:rFonts w:ascii="Times New Roman" w:eastAsia="Batang" w:hAnsi="Times New Roman" w:cs="Times New Roman"/>
                <w:szCs w:val="20"/>
                <w:lang w:val="en-GB"/>
              </w:rPr>
              <w:t>It can be used after initial access.</w:t>
            </w:r>
          </w:p>
          <w:p w14:paraId="7CB15A23" w14:textId="77777777" w:rsidR="00A52175" w:rsidRPr="00EC1D88" w:rsidRDefault="00A52175" w:rsidP="004204CE">
            <w:pPr>
              <w:numPr>
                <w:ilvl w:val="1"/>
                <w:numId w:val="15"/>
              </w:numPr>
              <w:autoSpaceDN w:val="0"/>
              <w:spacing w:after="0" w:line="252" w:lineRule="auto"/>
              <w:contextualSpacing/>
              <w:rPr>
                <w:rFonts w:ascii="Times New Roman" w:eastAsia="Batang" w:hAnsi="Times New Roman" w:cs="Times New Roman"/>
                <w:szCs w:val="20"/>
                <w:lang w:val="en-GB"/>
              </w:rPr>
            </w:pPr>
            <w:r w:rsidRPr="00EC1D88">
              <w:rPr>
                <w:rFonts w:ascii="Times New Roman" w:eastAsia="Batang" w:hAnsi="Times New Roman" w:cs="Times New Roman"/>
                <w:szCs w:val="20"/>
              </w:rPr>
              <w:t>It is no wider than the maximum RedCap UE bandwidth.</w:t>
            </w:r>
          </w:p>
          <w:p w14:paraId="3ADBEC59" w14:textId="77777777" w:rsidR="00A52175" w:rsidRPr="00EC1D88" w:rsidRDefault="00A52175" w:rsidP="004204CE">
            <w:pPr>
              <w:numPr>
                <w:ilvl w:val="1"/>
                <w:numId w:val="15"/>
              </w:numPr>
              <w:autoSpaceDN w:val="0"/>
              <w:spacing w:after="0" w:line="252" w:lineRule="auto"/>
              <w:contextualSpacing/>
              <w:rPr>
                <w:rFonts w:ascii="Times New Roman" w:eastAsia="Batang" w:hAnsi="Times New Roman" w:cs="Times New Roman"/>
                <w:szCs w:val="20"/>
                <w:lang w:val="en-GB"/>
              </w:rPr>
            </w:pPr>
            <w:r w:rsidRPr="00F63816">
              <w:rPr>
                <w:rFonts w:ascii="Times New Roman" w:eastAsia="Batang" w:hAnsi="Times New Roman" w:cs="Times New Roman"/>
                <w:szCs w:val="20"/>
                <w:highlight w:val="yellow"/>
                <w:lang w:val="en-GB"/>
              </w:rPr>
              <w:t>FFS:</w:t>
            </w:r>
            <w:r w:rsidRPr="00EC1D88">
              <w:rPr>
                <w:rFonts w:ascii="Times New Roman" w:eastAsia="Batang" w:hAnsi="Times New Roman" w:cs="Times New Roman"/>
                <w:szCs w:val="20"/>
                <w:lang w:val="en-GB"/>
              </w:rPr>
              <w:t xml:space="preserve"> It is always configured if the initial DL BWP for non-RedCap UEs is wider than the maximum RedCap UE bandwidth.</w:t>
            </w:r>
          </w:p>
          <w:p w14:paraId="2206E115" w14:textId="77777777" w:rsidR="00A52175" w:rsidRPr="00EC1D88" w:rsidRDefault="00A52175" w:rsidP="004204CE">
            <w:pPr>
              <w:numPr>
                <w:ilvl w:val="1"/>
                <w:numId w:val="15"/>
              </w:numPr>
              <w:autoSpaceDN w:val="0"/>
              <w:spacing w:after="0" w:line="252" w:lineRule="auto"/>
              <w:contextualSpacing/>
              <w:rPr>
                <w:rFonts w:ascii="Times New Roman" w:eastAsia="Batang" w:hAnsi="Times New Roman" w:cs="Times New Roman"/>
                <w:szCs w:val="20"/>
              </w:rPr>
            </w:pPr>
            <w:r w:rsidRPr="00EC1D88">
              <w:rPr>
                <w:rFonts w:ascii="Times New Roman" w:eastAsia="Batang" w:hAnsi="Times New Roman" w:cs="Times New Roman"/>
                <w:szCs w:val="20"/>
              </w:rPr>
              <w:t>This applies to both TDD and FDD (including FD FDD and HD FDD) cases.</w:t>
            </w:r>
          </w:p>
          <w:p w14:paraId="7CF5B8CB" w14:textId="77777777" w:rsidR="00A52175" w:rsidRPr="00EC1D88" w:rsidRDefault="00A52175" w:rsidP="004204CE">
            <w:pPr>
              <w:numPr>
                <w:ilvl w:val="1"/>
                <w:numId w:val="15"/>
              </w:numPr>
              <w:autoSpaceDN w:val="0"/>
              <w:spacing w:after="0" w:line="252" w:lineRule="auto"/>
              <w:contextualSpacing/>
              <w:rPr>
                <w:rFonts w:ascii="Times New Roman" w:eastAsia="Batang" w:hAnsi="Times New Roman" w:cs="Times New Roman"/>
                <w:szCs w:val="20"/>
              </w:rPr>
            </w:pPr>
            <w:r w:rsidRPr="00EC1D88">
              <w:rPr>
                <w:rFonts w:ascii="Times New Roman" w:eastAsia="Batang" w:hAnsi="Times New Roman" w:cs="Times New Roman"/>
                <w:szCs w:val="20"/>
                <w:highlight w:val="darkYellow"/>
                <w:lang w:val="en-GB"/>
              </w:rPr>
              <w:t>Working assumption:</w:t>
            </w:r>
            <w:r w:rsidRPr="00EC1D88">
              <w:rPr>
                <w:rFonts w:ascii="Times New Roman" w:eastAsia="Batang" w:hAnsi="Times New Roman" w:cs="Times New Roman"/>
                <w:szCs w:val="20"/>
                <w:lang w:val="en-GB"/>
              </w:rPr>
              <w:t xml:space="preserve"> </w:t>
            </w:r>
            <w:r w:rsidRPr="00EC1D88">
              <w:rPr>
                <w:rFonts w:ascii="Times New Roman" w:eastAsia="DengXian" w:hAnsi="Times New Roman" w:cs="Times New Roman" w:hint="eastAsia"/>
                <w:szCs w:val="20"/>
                <w:lang w:eastAsia="zh-CN"/>
              </w:rPr>
              <w:t>I</w:t>
            </w:r>
            <w:r w:rsidRPr="00EC1D88">
              <w:rPr>
                <w:rFonts w:ascii="Times New Roman" w:eastAsia="DengXian" w:hAnsi="Times New Roman" w:cs="Times New Roman"/>
                <w:szCs w:val="20"/>
                <w:lang w:eastAsia="zh-CN"/>
              </w:rPr>
              <w:t>t applies at least after initial access for FR1 when MIB configured CORESET#0 is included</w:t>
            </w:r>
          </w:p>
          <w:p w14:paraId="79BF3F99" w14:textId="77777777" w:rsidR="00A52175" w:rsidRPr="006D7C88" w:rsidRDefault="00A52175" w:rsidP="004204CE">
            <w:pPr>
              <w:shd w:val="clear" w:color="auto" w:fill="FFFFFF"/>
              <w:spacing w:after="0" w:line="231" w:lineRule="atLeast"/>
              <w:ind w:left="720"/>
              <w:rPr>
                <w:rFonts w:ascii="Times" w:eastAsia="Times New Roman" w:hAnsi="Times" w:cs="Times"/>
                <w:szCs w:val="20"/>
                <w:lang w:val="en-GB" w:eastAsia="ja-JP"/>
              </w:rPr>
            </w:pPr>
          </w:p>
        </w:tc>
      </w:tr>
    </w:tbl>
    <w:p w14:paraId="17872FF5" w14:textId="77777777" w:rsidR="00A52175" w:rsidRDefault="00A52175" w:rsidP="00A52175">
      <w:pPr>
        <w:pStyle w:val="ArialText"/>
      </w:pPr>
    </w:p>
    <w:p w14:paraId="3CA59EDE" w14:textId="26FE2F3E" w:rsidR="004479D9" w:rsidRDefault="004479D9" w:rsidP="00327F32">
      <w:pPr>
        <w:pStyle w:val="ArialText"/>
      </w:pPr>
      <w:r w:rsidRPr="00A04E41">
        <w:t xml:space="preserve">The configuration for a separately configured initial DL BWP for RedCap UEs </w:t>
      </w:r>
      <w:r w:rsidR="007005FD">
        <w:t>can be</w:t>
      </w:r>
      <w:r w:rsidR="007005FD" w:rsidRPr="00A04E41">
        <w:t xml:space="preserve"> </w:t>
      </w:r>
      <w:r w:rsidRPr="00A04E41">
        <w:t>signaled in SIB</w:t>
      </w:r>
      <w:r>
        <w:t xml:space="preserve">. Specifically, such separate SIB-configured RedCap initial DL BWP can be configured </w:t>
      </w:r>
      <w:r w:rsidR="003F5657">
        <w:t xml:space="preserve">by defining </w:t>
      </w:r>
      <w:r w:rsidR="00406734">
        <w:t xml:space="preserve">a new </w:t>
      </w:r>
      <w:r>
        <w:t>information element (</w:t>
      </w:r>
      <w:r w:rsidRPr="0098122D">
        <w:t>IE</w:t>
      </w:r>
      <w:r>
        <w:t>)</w:t>
      </w:r>
      <w:r w:rsidRPr="0098122D">
        <w:t xml:space="preserve"> </w:t>
      </w:r>
      <w:r w:rsidR="003F5657" w:rsidRPr="003F5657">
        <w:t>e.g.,</w:t>
      </w:r>
      <w:r w:rsidR="00474EC6">
        <w:t xml:space="preserve"> </w:t>
      </w:r>
      <w:proofErr w:type="spellStart"/>
      <w:r w:rsidR="00272935" w:rsidRPr="00D45471">
        <w:rPr>
          <w:rFonts w:eastAsia="MS Mincho"/>
          <w:i/>
        </w:rPr>
        <w:t>initial</w:t>
      </w:r>
      <w:r w:rsidR="00272935">
        <w:rPr>
          <w:rFonts w:eastAsia="MS Mincho"/>
          <w:i/>
        </w:rPr>
        <w:t>Down</w:t>
      </w:r>
      <w:r w:rsidR="00272935" w:rsidRPr="00D45471">
        <w:rPr>
          <w:rFonts w:eastAsia="MS Mincho"/>
          <w:i/>
        </w:rPr>
        <w:t>linkBWP</w:t>
      </w:r>
      <w:proofErr w:type="spellEnd"/>
      <w:r w:rsidR="00474EC6" w:rsidRPr="0098122D">
        <w:t xml:space="preserve"> </w:t>
      </w:r>
      <w:r w:rsidRPr="00414F02">
        <w:t xml:space="preserve">within </w:t>
      </w:r>
      <w:proofErr w:type="spellStart"/>
      <w:r w:rsidRPr="00414F02">
        <w:rPr>
          <w:i/>
          <w:iCs/>
        </w:rPr>
        <w:t>DownlinkConfigCommonSIB</w:t>
      </w:r>
      <w:proofErr w:type="spellEnd"/>
      <w:r w:rsidRPr="00414F02">
        <w:t xml:space="preserve"> </w:t>
      </w:r>
      <w:r>
        <w:t xml:space="preserve">which is carried via </w:t>
      </w:r>
      <w:r w:rsidRPr="0098122D">
        <w:t>SIB1</w:t>
      </w:r>
      <w:r>
        <w:t>.</w:t>
      </w:r>
      <w:r w:rsidR="00534D77">
        <w:t xml:space="preserve"> </w:t>
      </w:r>
      <w:r w:rsidR="00875F97">
        <w:t>However, t</w:t>
      </w:r>
      <w:r w:rsidR="00534D77">
        <w:t xml:space="preserve">he </w:t>
      </w:r>
      <w:r w:rsidR="005521E1">
        <w:t>detail</w:t>
      </w:r>
      <w:r w:rsidR="00875F97">
        <w:t>ed signaling solution for the</w:t>
      </w:r>
      <w:r w:rsidR="000432C1">
        <w:t xml:space="preserve"> </w:t>
      </w:r>
      <w:r w:rsidR="005521E1">
        <w:t xml:space="preserve">configuration </w:t>
      </w:r>
      <w:r w:rsidR="00D93675">
        <w:t>of</w:t>
      </w:r>
      <w:r w:rsidR="00534D77">
        <w:t xml:space="preserve"> </w:t>
      </w:r>
      <w:r w:rsidR="00D93675">
        <w:t xml:space="preserve">the </w:t>
      </w:r>
      <w:r w:rsidR="00534D77">
        <w:t xml:space="preserve">RedCap initial BWP </w:t>
      </w:r>
      <w:r w:rsidR="00875F97">
        <w:t>is up</w:t>
      </w:r>
      <w:r w:rsidR="00534D77">
        <w:t xml:space="preserve"> to RAN2</w:t>
      </w:r>
      <w:r w:rsidR="00AA5027">
        <w:t>.</w:t>
      </w:r>
    </w:p>
    <w:p w14:paraId="0DB76281" w14:textId="1CD9676A" w:rsidR="00D92252" w:rsidRDefault="004479D9" w:rsidP="00287994">
      <w:pPr>
        <w:pStyle w:val="ArialText"/>
      </w:pPr>
      <w:r>
        <w:t>For Rel-15/16 UEs, t</w:t>
      </w:r>
      <w:r w:rsidRPr="006F5ABF">
        <w:t xml:space="preserve">he network configures the </w:t>
      </w:r>
      <w:proofErr w:type="spellStart"/>
      <w:r w:rsidRPr="006F5ABF">
        <w:rPr>
          <w:i/>
          <w:iCs/>
        </w:rPr>
        <w:t>locationAndBandwidth</w:t>
      </w:r>
      <w:proofErr w:type="spellEnd"/>
      <w:r w:rsidRPr="006F5ABF">
        <w:t xml:space="preserve"> so that the initial </w:t>
      </w:r>
      <w:r w:rsidR="0032559D">
        <w:t>DL</w:t>
      </w:r>
      <w:r w:rsidRPr="006F5ABF">
        <w:t xml:space="preserve">BWP contains the entire CORESET#0 of this serving cell in the frequency domain. The UE applies the </w:t>
      </w:r>
      <w:proofErr w:type="spellStart"/>
      <w:r w:rsidRPr="006F5ABF">
        <w:rPr>
          <w:i/>
          <w:iCs/>
        </w:rPr>
        <w:t>locationAndBandwidth</w:t>
      </w:r>
      <w:proofErr w:type="spellEnd"/>
      <w:r w:rsidRPr="006F5ABF">
        <w:t xml:space="preserve"> upon reception of this field (e.g.</w:t>
      </w:r>
      <w:r w:rsidR="00EC676D">
        <w:t>,</w:t>
      </w:r>
      <w:r w:rsidRPr="006F5ABF">
        <w:t xml:space="preserve"> to determine the frequency position of signals described in relation to this </w:t>
      </w:r>
      <w:proofErr w:type="spellStart"/>
      <w:r w:rsidRPr="009B7275">
        <w:rPr>
          <w:i/>
          <w:iCs/>
        </w:rPr>
        <w:t>locationAndBandwidth</w:t>
      </w:r>
      <w:proofErr w:type="spellEnd"/>
      <w:r w:rsidRPr="006F5ABF">
        <w:t>)</w:t>
      </w:r>
      <w:r>
        <w:t xml:space="preserve"> </w:t>
      </w:r>
      <w:r w:rsidRPr="006F5ABF">
        <w:t>but it keeps CORESET#0 until after reception of</w:t>
      </w:r>
      <w:r>
        <w:t xml:space="preserve"> </w:t>
      </w:r>
      <w:proofErr w:type="spellStart"/>
      <w:r w:rsidRPr="006F5ABF">
        <w:t>RRCSetup</w:t>
      </w:r>
      <w:proofErr w:type="spellEnd"/>
      <w:r w:rsidRPr="006F5ABF">
        <w:t>/</w:t>
      </w:r>
      <w:proofErr w:type="spellStart"/>
      <w:r w:rsidRPr="006F5ABF">
        <w:t>RRCResume</w:t>
      </w:r>
      <w:proofErr w:type="spellEnd"/>
      <w:r w:rsidRPr="006F5ABF">
        <w:t>/</w:t>
      </w:r>
      <w:proofErr w:type="spellStart"/>
      <w:r w:rsidRPr="006F5ABF">
        <w:t>RRCReestablishment</w:t>
      </w:r>
      <w:proofErr w:type="spellEnd"/>
      <w:r w:rsidRPr="006F5ABF">
        <w:t>.</w:t>
      </w:r>
      <w:r>
        <w:t xml:space="preserve"> Therefore, the UE does not use the location and BW (defined in IE </w:t>
      </w:r>
      <w:proofErr w:type="spellStart"/>
      <w:r w:rsidRPr="006F5ABF">
        <w:rPr>
          <w:i/>
          <w:iCs/>
        </w:rPr>
        <w:t>locationAndBandwidth</w:t>
      </w:r>
      <w:proofErr w:type="spellEnd"/>
      <w:r w:rsidRPr="004F2E2A">
        <w:t>)</w:t>
      </w:r>
      <w:r>
        <w:t xml:space="preserve"> for its initial DL BWP</w:t>
      </w:r>
      <w:r>
        <w:rPr>
          <w:i/>
          <w:iCs/>
        </w:rPr>
        <w:t xml:space="preserve"> </w:t>
      </w:r>
      <w:r>
        <w:t xml:space="preserve">during the initial access. For RedCap UEs, however, the SIB-configured initial DL BWP with specified IE </w:t>
      </w:r>
      <w:proofErr w:type="spellStart"/>
      <w:r w:rsidRPr="006F5ABF">
        <w:rPr>
          <w:i/>
          <w:iCs/>
        </w:rPr>
        <w:t>locationAndBandwidth</w:t>
      </w:r>
      <w:proofErr w:type="spellEnd"/>
      <w:r>
        <w:rPr>
          <w:i/>
          <w:iCs/>
        </w:rPr>
        <w:t xml:space="preserve"> </w:t>
      </w:r>
      <w:r>
        <w:t xml:space="preserve">should be used during the initial access as well. In this case, after reception of CORESET #0 and decoding SIB1, the RedCap UE can switch to the separate SIB-configured initial DL BWP during the initial access. Such flexibility in the location of the initial DL BWP during initial access is beneficial for TDD UL/DL center frequency alignment when the initial UL BWP is located at the edge of the carrier to minimize the PUSCH resource fragmentation. Moreover, having a </w:t>
      </w:r>
      <w:r w:rsidR="000C2DC2">
        <w:t>separate</w:t>
      </w:r>
      <w:r>
        <w:t xml:space="preserve"> SIB configured initial DL BWP during initial access can be beneficial for offloading purposes for both FDD and TDD scenarios. </w:t>
      </w:r>
    </w:p>
    <w:p w14:paraId="5B610F38" w14:textId="301A3E60" w:rsidR="002D73F0" w:rsidRDefault="002D73F0" w:rsidP="00184F37">
      <w:pPr>
        <w:pStyle w:val="Proposal"/>
      </w:pPr>
      <w:bookmarkStart w:id="24" w:name="_Toc87060625"/>
      <w:r>
        <w:t>A separate</w:t>
      </w:r>
      <w:r w:rsidR="00BC1E49">
        <w:t xml:space="preserve"> SIB-configured</w:t>
      </w:r>
      <w:r>
        <w:t xml:space="preserve"> initial DL BWP for RedCap </w:t>
      </w:r>
      <w:r w:rsidRPr="002D73F0">
        <w:t xml:space="preserve">can be used </w:t>
      </w:r>
      <w:r>
        <w:t>during</w:t>
      </w:r>
      <w:r w:rsidR="00F235D0">
        <w:t xml:space="preserve"> the</w:t>
      </w:r>
      <w:r w:rsidRPr="002D73F0">
        <w:t xml:space="preserve"> initial access.</w:t>
      </w:r>
      <w:bookmarkEnd w:id="24"/>
    </w:p>
    <w:p w14:paraId="36191829" w14:textId="78525BB9" w:rsidR="00F922A9" w:rsidRDefault="00F922A9" w:rsidP="00F922A9">
      <w:pPr>
        <w:pStyle w:val="Proposal"/>
      </w:pPr>
      <w:bookmarkStart w:id="25" w:name="_Toc87060626"/>
      <w:r>
        <w:t>For RedCap UEs, the</w:t>
      </w:r>
      <w:r w:rsidR="007007DD">
        <w:t xml:space="preserve"> IE </w:t>
      </w:r>
      <w:proofErr w:type="spellStart"/>
      <w:r w:rsidR="007007DD" w:rsidRPr="006F5ABF">
        <w:rPr>
          <w:i/>
          <w:iCs/>
        </w:rPr>
        <w:t>locationAndBandwidth</w:t>
      </w:r>
      <w:proofErr w:type="spellEnd"/>
      <w:r w:rsidR="007007DD">
        <w:rPr>
          <w:i/>
          <w:iCs/>
        </w:rPr>
        <w:t xml:space="preserve"> </w:t>
      </w:r>
      <w:r w:rsidR="007007DD">
        <w:t>specified in the</w:t>
      </w:r>
      <w:r>
        <w:t xml:space="preserve"> SIB-configured initial DL BWP </w:t>
      </w:r>
      <w:r w:rsidR="009450BE">
        <w:t>can be applied and used during the initial access</w:t>
      </w:r>
      <w:r>
        <w:t>.</w:t>
      </w:r>
      <w:bookmarkEnd w:id="25"/>
    </w:p>
    <w:p w14:paraId="0A95D05B" w14:textId="7EDC07FF" w:rsidR="00E70BEC" w:rsidRDefault="00E70BEC" w:rsidP="00F922A9">
      <w:pPr>
        <w:pStyle w:val="Proposal"/>
      </w:pPr>
      <w:bookmarkStart w:id="26" w:name="_Toc87060627"/>
      <w:r>
        <w:t>Confirm the</w:t>
      </w:r>
      <w:r w:rsidR="004E02D3">
        <w:t xml:space="preserve"> working assumption in the</w:t>
      </w:r>
      <w:r>
        <w:t xml:space="preserve"> </w:t>
      </w:r>
      <w:r w:rsidR="00315EA9">
        <w:t>sub-bullet related to separate initial DL BWP</w:t>
      </w:r>
      <w:r>
        <w:t xml:space="preserve"> </w:t>
      </w:r>
      <w:r w:rsidR="00315EA9">
        <w:t>from RAN1#106-bis-e that “</w:t>
      </w:r>
      <w:r w:rsidR="004E02D3" w:rsidRPr="004E02D3">
        <w:t>It can be used during initial access</w:t>
      </w:r>
      <w:r w:rsidR="00315EA9">
        <w:t>”</w:t>
      </w:r>
      <w:r w:rsidR="004E02D3">
        <w:t>.</w:t>
      </w:r>
      <w:bookmarkEnd w:id="26"/>
    </w:p>
    <w:p w14:paraId="4FCC1E84" w14:textId="33D90744" w:rsidR="00C638BC" w:rsidRDefault="00C638BC" w:rsidP="00C638BC">
      <w:pPr>
        <w:pStyle w:val="ArialText"/>
        <w:rPr>
          <w:b/>
          <w:u w:val="single"/>
        </w:rPr>
      </w:pPr>
    </w:p>
    <w:p w14:paraId="52F0F861" w14:textId="2F370030" w:rsidR="00972A13" w:rsidRPr="00972A13" w:rsidRDefault="00DA03FC" w:rsidP="00972A13">
      <w:pPr>
        <w:pStyle w:val="ArialText"/>
      </w:pPr>
      <w:r>
        <w:t xml:space="preserve">For </w:t>
      </w:r>
      <w:r w:rsidR="00E40474">
        <w:t xml:space="preserve">legacy UEs, a SIB-configured initial DL BWP always contains MIB-configured CORESET </w:t>
      </w:r>
      <w:proofErr w:type="gramStart"/>
      <w:r w:rsidR="00E40474">
        <w:t>#0</w:t>
      </w:r>
      <w:proofErr w:type="gramEnd"/>
      <w:r w:rsidR="00E40474">
        <w:t xml:space="preserve"> and it is used after initial access. For RedCap UEs, similar to the </w:t>
      </w:r>
      <w:r w:rsidR="001E69C4">
        <w:t>legacy case, a separate SIB</w:t>
      </w:r>
      <w:r w:rsidR="00895B7B">
        <w:t>-</w:t>
      </w:r>
      <w:r w:rsidR="001E69C4">
        <w:t xml:space="preserve">configured initial DL BWP </w:t>
      </w:r>
      <w:r w:rsidR="00895B7B">
        <w:t>can be used after initial access at least when it contains CORESET #0.</w:t>
      </w:r>
    </w:p>
    <w:p w14:paraId="7A7649FB" w14:textId="5E9DD60A" w:rsidR="00895B7B" w:rsidRDefault="00895B7B" w:rsidP="00895B7B">
      <w:pPr>
        <w:pStyle w:val="Proposal"/>
      </w:pPr>
      <w:bookmarkStart w:id="27" w:name="_Toc87060628"/>
      <w:r>
        <w:t>Confirm the working assumption in the sub-bullet related to separate initial DL BWP from RAN1#106-bis-e that “</w:t>
      </w:r>
      <w:r w:rsidRPr="00895B7B">
        <w:t>It applies at least after initial access for FR1 when MIB configured CORESET#0 is included</w:t>
      </w:r>
      <w:r>
        <w:t>”.</w:t>
      </w:r>
      <w:bookmarkEnd w:id="27"/>
    </w:p>
    <w:p w14:paraId="53AC8253" w14:textId="2C45BA87" w:rsidR="00B612DF" w:rsidRDefault="00B612DF" w:rsidP="00C638BC">
      <w:pPr>
        <w:pStyle w:val="ArialText"/>
        <w:rPr>
          <w:b/>
          <w:u w:val="single"/>
        </w:rPr>
      </w:pPr>
    </w:p>
    <w:p w14:paraId="0A11A589" w14:textId="5FBD8EED" w:rsidR="001932D0" w:rsidRDefault="001932D0" w:rsidP="001932D0">
      <w:pPr>
        <w:pStyle w:val="ArialText"/>
      </w:pPr>
      <w:r>
        <w:t xml:space="preserve">Another FFS identified in </w:t>
      </w:r>
      <w:r w:rsidRPr="001932D0">
        <w:t>RAN1#106-bis-e</w:t>
      </w:r>
      <w:r>
        <w:t xml:space="preserve"> </w:t>
      </w:r>
      <w:r w:rsidR="00385ED8">
        <w:t>if the separate RedCap initial DL BWP</w:t>
      </w:r>
      <w:r w:rsidRPr="001932D0">
        <w:t xml:space="preserve"> is always configured if the initial DL BWP for non-RedCap UEs is wider than the maximum RedCap UE bandwidth.</w:t>
      </w:r>
      <w:r w:rsidR="00927F18">
        <w:t xml:space="preserve"> </w:t>
      </w:r>
      <w:r w:rsidR="008F2D52">
        <w:t xml:space="preserve">Clearly, </w:t>
      </w:r>
      <w:r w:rsidR="002B24FA">
        <w:t>when the</w:t>
      </w:r>
      <w:r w:rsidR="008F2D52">
        <w:t xml:space="preserve"> </w:t>
      </w:r>
      <w:r w:rsidR="002B24FA" w:rsidRPr="001932D0">
        <w:t xml:space="preserve">non-RedCap </w:t>
      </w:r>
      <w:r w:rsidR="002B24FA">
        <w:t>initial DL BWP</w:t>
      </w:r>
      <w:r w:rsidR="002B24FA" w:rsidRPr="001932D0">
        <w:t xml:space="preserve"> is wider than the maximum RedCap UE bandwidth</w:t>
      </w:r>
      <w:r w:rsidR="002B24FA">
        <w:t xml:space="preserve">, it is not possible to share </w:t>
      </w:r>
      <w:r w:rsidR="00200907">
        <w:t>the initial DL BWP between RedCap and non-RedCap UEs. In this case, there are two option</w:t>
      </w:r>
      <w:r w:rsidR="00EE2A0A">
        <w:t>s</w:t>
      </w:r>
      <w:r w:rsidR="00200907">
        <w:t xml:space="preserve"> for RedCap: </w:t>
      </w:r>
    </w:p>
    <w:p w14:paraId="1D6B4A14" w14:textId="69BA6E61" w:rsidR="00200907" w:rsidRDefault="00EE2A0A" w:rsidP="001925A8">
      <w:pPr>
        <w:pStyle w:val="ArialText"/>
        <w:numPr>
          <w:ilvl w:val="0"/>
          <w:numId w:val="27"/>
        </w:numPr>
      </w:pPr>
      <w:r>
        <w:lastRenderedPageBreak/>
        <w:t>A separate initial DL BWP is configured for RedCap</w:t>
      </w:r>
      <w:r w:rsidR="005B1E77">
        <w:t>.</w:t>
      </w:r>
    </w:p>
    <w:p w14:paraId="402BD561" w14:textId="071C2418" w:rsidR="00B612DF" w:rsidRPr="00D94CC5" w:rsidRDefault="00EE2A0A" w:rsidP="001925A8">
      <w:pPr>
        <w:pStyle w:val="ArialText"/>
        <w:numPr>
          <w:ilvl w:val="0"/>
          <w:numId w:val="27"/>
        </w:numPr>
      </w:pPr>
      <w:r>
        <w:t xml:space="preserve">RedCap </w:t>
      </w:r>
      <w:r w:rsidR="008E4313">
        <w:t>uses the MIB-configured CORESET #0 as its initial DL BWP.</w:t>
      </w:r>
    </w:p>
    <w:p w14:paraId="1C91121F" w14:textId="1646F3C1" w:rsidR="009B0C10" w:rsidRPr="009B0C10" w:rsidRDefault="009B0C10" w:rsidP="009B0C10">
      <w:pPr>
        <w:pStyle w:val="ArialText"/>
      </w:pPr>
      <w:r>
        <w:t xml:space="preserve">Depending on the scenario, it may not be necessary to always configure a separate initial DL BWP for RedCap and it can rely on the MIB-configured initial DL BWP (i.e., CORESET #0).  </w:t>
      </w:r>
      <w:r w:rsidR="00E80182">
        <w:t>Specifically</w:t>
      </w:r>
      <w:r w:rsidR="00E74BC0">
        <w:t>,</w:t>
      </w:r>
      <w:r w:rsidR="00554CFB">
        <w:t xml:space="preserve"> in TDD,</w:t>
      </w:r>
      <w:r w:rsidR="00E74BC0">
        <w:t xml:space="preserve"> </w:t>
      </w:r>
      <w:r w:rsidR="00E80182">
        <w:rPr>
          <w:lang w:eastAsia="en-GB"/>
        </w:rPr>
        <w:t>in scenarios where the non-</w:t>
      </w:r>
      <w:r w:rsidR="00E80182" w:rsidRPr="00C048C9">
        <w:rPr>
          <w:lang w:eastAsia="en-GB"/>
        </w:rPr>
        <w:t xml:space="preserve">RedCap initial DL BWP has </w:t>
      </w:r>
      <w:r w:rsidR="00E80182">
        <w:rPr>
          <w:lang w:eastAsia="en-GB"/>
        </w:rPr>
        <w:t xml:space="preserve">a </w:t>
      </w:r>
      <w:r w:rsidR="00E80182" w:rsidRPr="00C048C9">
        <w:rPr>
          <w:lang w:eastAsia="en-GB"/>
        </w:rPr>
        <w:t>similar size as non-RedCap initial UL BWP</w:t>
      </w:r>
      <w:r w:rsidR="00E80182">
        <w:rPr>
          <w:lang w:eastAsia="en-GB"/>
        </w:rPr>
        <w:t>, it is possible to place the MIB-configured CORESET #0 near the carrier edge, as illustrated in</w:t>
      </w:r>
      <w:r w:rsidR="00FE57C2">
        <w:rPr>
          <w:lang w:eastAsia="en-GB"/>
        </w:rPr>
        <w:t xml:space="preserve"> </w:t>
      </w:r>
      <w:r w:rsidR="00FE57C2">
        <w:rPr>
          <w:lang w:eastAsia="en-GB"/>
        </w:rPr>
        <w:fldChar w:fldCharType="begin"/>
      </w:r>
      <w:r w:rsidR="00FE57C2">
        <w:rPr>
          <w:lang w:eastAsia="en-GB"/>
        </w:rPr>
        <w:instrText xml:space="preserve"> REF _Ref86258985 \h </w:instrText>
      </w:r>
      <w:r w:rsidR="00FE57C2">
        <w:rPr>
          <w:lang w:eastAsia="en-GB"/>
        </w:rPr>
      </w:r>
      <w:r w:rsidR="00FE57C2">
        <w:rPr>
          <w:lang w:eastAsia="en-GB"/>
        </w:rPr>
        <w:fldChar w:fldCharType="separate"/>
      </w:r>
      <w:r w:rsidR="007A78E0">
        <w:t xml:space="preserve">Figure </w:t>
      </w:r>
      <w:r w:rsidR="007A78E0">
        <w:rPr>
          <w:noProof/>
        </w:rPr>
        <w:t>2</w:t>
      </w:r>
      <w:r w:rsidR="00FE57C2">
        <w:rPr>
          <w:lang w:eastAsia="en-GB"/>
        </w:rPr>
        <w:fldChar w:fldCharType="end"/>
      </w:r>
      <w:r w:rsidR="00E80182">
        <w:rPr>
          <w:lang w:eastAsia="en-GB"/>
        </w:rPr>
        <w:t xml:space="preserve"> . In this case, RedCap UEs can use the MIB-configured CORESET #0</w:t>
      </w:r>
      <w:r w:rsidR="00863576">
        <w:rPr>
          <w:lang w:eastAsia="en-GB"/>
        </w:rPr>
        <w:t xml:space="preserve"> as its initial DL BWP without the need for configuring a separate SIB-configured initial DL BWP.</w:t>
      </w:r>
      <w:r w:rsidR="00554CFB">
        <w:rPr>
          <w:lang w:eastAsia="en-GB"/>
        </w:rPr>
        <w:t xml:space="preserve"> Similarly, in FDD, the RedCap can use MIB-configured CORESET #0 (which does not need to be located at the carrier edge) as the initial DL BWP. </w:t>
      </w:r>
    </w:p>
    <w:p w14:paraId="732DFE80" w14:textId="033885D9" w:rsidR="00F9190C" w:rsidRDefault="00D00D75" w:rsidP="00554CFB">
      <w:pPr>
        <w:pStyle w:val="ArialText"/>
        <w:keepNext/>
        <w:jc w:val="center"/>
      </w:pPr>
      <w:r>
        <w:rPr>
          <w:noProof/>
        </w:rPr>
        <w:drawing>
          <wp:inline distT="0" distB="0" distL="0" distR="0" wp14:anchorId="7CA2D14F" wp14:editId="01510F5A">
            <wp:extent cx="4770415" cy="1754357"/>
            <wp:effectExtent l="0" t="0" r="0" b="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833817" cy="1777673"/>
                    </a:xfrm>
                    <a:prstGeom prst="rect">
                      <a:avLst/>
                    </a:prstGeom>
                    <a:noFill/>
                  </pic:spPr>
                </pic:pic>
              </a:graphicData>
            </a:graphic>
          </wp:inline>
        </w:drawing>
      </w:r>
    </w:p>
    <w:p w14:paraId="3663AFF6" w14:textId="1C33C892" w:rsidR="009B0C10" w:rsidRDefault="00F9190C" w:rsidP="004E4A74">
      <w:pPr>
        <w:pStyle w:val="Caption"/>
        <w:jc w:val="center"/>
        <w:rPr>
          <w:b w:val="0"/>
          <w:noProof/>
          <w:u w:val="single"/>
        </w:rPr>
      </w:pPr>
      <w:bookmarkStart w:id="28" w:name="_Ref86258985"/>
      <w:r>
        <w:t xml:space="preserve">Figure </w:t>
      </w:r>
      <w:r>
        <w:fldChar w:fldCharType="begin"/>
      </w:r>
      <w:r>
        <w:instrText xml:space="preserve"> SEQ Figure \* ARABIC </w:instrText>
      </w:r>
      <w:r>
        <w:fldChar w:fldCharType="separate"/>
      </w:r>
      <w:r w:rsidR="007A78E0">
        <w:rPr>
          <w:noProof/>
        </w:rPr>
        <w:t>2</w:t>
      </w:r>
      <w:r>
        <w:fldChar w:fldCharType="end"/>
      </w:r>
      <w:bookmarkEnd w:id="28"/>
      <w:r>
        <w:t xml:space="preserve">: A scenario where MIB-configured CORESET #0 is used as the </w:t>
      </w:r>
      <w:r w:rsidR="00FE57C2">
        <w:t>initial</w:t>
      </w:r>
      <w:r>
        <w:t xml:space="preserve"> DL BWP for RedCap</w:t>
      </w:r>
      <w:r w:rsidR="00554CFB">
        <w:t xml:space="preserve"> in TDD</w:t>
      </w:r>
      <w:r>
        <w:t>.</w:t>
      </w:r>
    </w:p>
    <w:p w14:paraId="7AF40788" w14:textId="63935863" w:rsidR="00E40DE6" w:rsidRDefault="00E40DE6" w:rsidP="00C638BC">
      <w:pPr>
        <w:pStyle w:val="ArialText"/>
        <w:rPr>
          <w:b/>
          <w:noProof/>
          <w:u w:val="single"/>
        </w:rPr>
      </w:pPr>
    </w:p>
    <w:p w14:paraId="26B2AE79" w14:textId="2F7632AE" w:rsidR="00E40DE6" w:rsidRDefault="00554CFB" w:rsidP="00554CFB">
      <w:pPr>
        <w:pStyle w:val="ArialText"/>
      </w:pPr>
      <w:r>
        <w:t xml:space="preserve">Therefore, </w:t>
      </w:r>
      <w:r w:rsidR="00BE3A5A">
        <w:t>it is not always necessary to configure a separate SIB-configured initial DL BWP for RedCap.</w:t>
      </w:r>
    </w:p>
    <w:p w14:paraId="2D2A33E3" w14:textId="14E02AD2" w:rsidR="00E40DE6" w:rsidRDefault="00BE3A5A" w:rsidP="00BE3A5A">
      <w:pPr>
        <w:pStyle w:val="Proposal"/>
      </w:pPr>
      <w:bookmarkStart w:id="29" w:name="_Toc87060629"/>
      <w:r>
        <w:t xml:space="preserve">It is not necessary to </w:t>
      </w:r>
      <w:r w:rsidRPr="00BE3A5A">
        <w:t>always configur</w:t>
      </w:r>
      <w:r>
        <w:t>e a separate SIB-configured initial DL BWP</w:t>
      </w:r>
      <w:r w:rsidRPr="00BE3A5A">
        <w:t xml:space="preserve"> </w:t>
      </w:r>
      <w:r>
        <w:t xml:space="preserve">for RedCap </w:t>
      </w:r>
      <w:r w:rsidRPr="00BE3A5A">
        <w:t>if the initial DL BWP for non-RedCap UEs is wider than the maximum RedCap UE bandwidth.</w:t>
      </w:r>
      <w:bookmarkEnd w:id="29"/>
      <w:r>
        <w:t xml:space="preserve"> </w:t>
      </w:r>
    </w:p>
    <w:p w14:paraId="2DB0000D" w14:textId="7383329E" w:rsidR="00595173" w:rsidRDefault="000B7D4D" w:rsidP="00BE3A5A">
      <w:pPr>
        <w:pStyle w:val="Proposal"/>
      </w:pPr>
      <w:bookmarkStart w:id="30" w:name="_Toc87060630"/>
      <w:r>
        <w:t>The RedCap UE uses the separate SIB-configured initial DL BWP (if configured), otherwise, it continues using the MIB-configured CORESET #0.</w:t>
      </w:r>
      <w:bookmarkEnd w:id="30"/>
    </w:p>
    <w:p w14:paraId="3040325C" w14:textId="08C0B15A" w:rsidR="00D03E96" w:rsidRDefault="00734006" w:rsidP="00D03E96">
      <w:pPr>
        <w:pStyle w:val="Proposal"/>
      </w:pPr>
      <w:bookmarkStart w:id="31" w:name="_Toc87060631"/>
      <w:r>
        <w:t xml:space="preserve">Confirm the </w:t>
      </w:r>
      <w:r w:rsidR="007352A8">
        <w:t>working assumption</w:t>
      </w:r>
      <w:r w:rsidR="00045D79">
        <w:t>s</w:t>
      </w:r>
      <w:r w:rsidR="00F44E2B">
        <w:t xml:space="preserve"> (in </w:t>
      </w:r>
      <w:r w:rsidR="00315059">
        <w:t xml:space="preserve">the </w:t>
      </w:r>
      <w:r w:rsidR="00F44E2B">
        <w:t>main bullet and sub-</w:t>
      </w:r>
      <w:proofErr w:type="gramStart"/>
      <w:r w:rsidR="00F44E2B">
        <w:t xml:space="preserve">bullets)  </w:t>
      </w:r>
      <w:r w:rsidR="003A01E3" w:rsidRPr="004F414C">
        <w:t>from</w:t>
      </w:r>
      <w:proofErr w:type="gramEnd"/>
      <w:r w:rsidR="003A01E3" w:rsidRPr="004F414C">
        <w:t xml:space="preserve"> RAN1#106-bis-e</w:t>
      </w:r>
      <w:r w:rsidR="003A01E3">
        <w:t xml:space="preserve"> </w:t>
      </w:r>
      <w:r w:rsidR="003A01E3" w:rsidRPr="004F414C">
        <w:t>related to separate</w:t>
      </w:r>
      <w:r w:rsidR="003A01E3">
        <w:t xml:space="preserve"> SIB-configured</w:t>
      </w:r>
      <w:r w:rsidR="003A01E3" w:rsidRPr="004F414C">
        <w:t xml:space="preserve"> initial DL BWP</w:t>
      </w:r>
      <w:r w:rsidR="003A01E3">
        <w:t xml:space="preserve"> for RedCap</w:t>
      </w:r>
      <w:r>
        <w:t xml:space="preserve"> </w:t>
      </w:r>
      <w:r w:rsidR="00045D79">
        <w:t>that: “</w:t>
      </w:r>
      <w:r w:rsidR="00045D79" w:rsidRPr="00045D79">
        <w:t>For a cell that allows a RedCap UE to access, network can configure a separate initial DL BWP for RedCap UEs in SIB</w:t>
      </w:r>
      <w:r w:rsidR="00045D79">
        <w:t>”</w:t>
      </w:r>
      <w:r w:rsidR="00045D79" w:rsidRPr="00045D79">
        <w:t>.</w:t>
      </w:r>
      <w:r w:rsidR="00D03E96">
        <w:t xml:space="preserve"> This applies to both FR1 and FR2.</w:t>
      </w:r>
      <w:bookmarkEnd w:id="31"/>
      <w:r w:rsidR="00D03E96">
        <w:t xml:space="preserve"> </w:t>
      </w:r>
    </w:p>
    <w:p w14:paraId="4DA78AAA" w14:textId="77777777" w:rsidR="007D709F" w:rsidRDefault="007D709F" w:rsidP="004E4A74">
      <w:pPr>
        <w:pStyle w:val="Proposal"/>
        <w:numPr>
          <w:ilvl w:val="0"/>
          <w:numId w:val="0"/>
        </w:numPr>
      </w:pPr>
    </w:p>
    <w:p w14:paraId="006826D7" w14:textId="273582CA" w:rsidR="00530E32" w:rsidRDefault="00530E32" w:rsidP="00D94CC5">
      <w:pPr>
        <w:pStyle w:val="ArialText"/>
      </w:pPr>
      <w:r>
        <w:t>Moreover, based on the latest feature lead summary in RAN1#106-bis-e, the following aspects are under discussion:</w:t>
      </w:r>
    </w:p>
    <w:tbl>
      <w:tblPr>
        <w:tblW w:w="9629" w:type="dxa"/>
        <w:tblCellMar>
          <w:left w:w="0" w:type="dxa"/>
          <w:right w:w="0" w:type="dxa"/>
        </w:tblCellMar>
        <w:tblLook w:val="04A0" w:firstRow="1" w:lastRow="0" w:firstColumn="1" w:lastColumn="0" w:noHBand="0" w:noVBand="1"/>
      </w:tblPr>
      <w:tblGrid>
        <w:gridCol w:w="9629"/>
      </w:tblGrid>
      <w:tr w:rsidR="00530E32" w:rsidRPr="00E916C2" w14:paraId="4DD4E227" w14:textId="77777777" w:rsidTr="004204CE">
        <w:tc>
          <w:tcPr>
            <w:tcW w:w="9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A6C3C6" w14:textId="77777777" w:rsidR="00530E32" w:rsidRDefault="00530E32" w:rsidP="004204CE">
            <w:pPr>
              <w:jc w:val="both"/>
              <w:rPr>
                <w:rFonts w:asciiTheme="majorBidi" w:hAnsiTheme="majorBidi" w:cstheme="majorBidi"/>
                <w:b/>
              </w:rPr>
            </w:pPr>
            <w:r w:rsidRPr="007D38DE">
              <w:rPr>
                <w:rFonts w:asciiTheme="majorBidi" w:hAnsiTheme="majorBidi" w:cstheme="majorBidi"/>
                <w:b/>
                <w:highlight w:val="yellow"/>
              </w:rPr>
              <w:t>High Priority Proposal 3.2-5-1a</w:t>
            </w:r>
            <w:r w:rsidRPr="007D38DE">
              <w:rPr>
                <w:rFonts w:asciiTheme="majorBidi" w:hAnsiTheme="majorBidi" w:cstheme="majorBidi"/>
                <w:b/>
              </w:rPr>
              <w:t>:</w:t>
            </w:r>
          </w:p>
          <w:p w14:paraId="158F1086" w14:textId="223C557E" w:rsidR="00542518" w:rsidRPr="00542518" w:rsidRDefault="00542518" w:rsidP="004204CE">
            <w:pPr>
              <w:jc w:val="both"/>
              <w:rPr>
                <w:rFonts w:asciiTheme="majorBidi" w:hAnsiTheme="majorBidi" w:cstheme="majorBidi"/>
                <w:bCs/>
              </w:rPr>
            </w:pPr>
            <w:r w:rsidRPr="00542518">
              <w:rPr>
                <w:rFonts w:asciiTheme="majorBidi" w:hAnsiTheme="majorBidi" w:cstheme="majorBidi"/>
                <w:bCs/>
              </w:rPr>
              <w:t>For FR1,</w:t>
            </w:r>
          </w:p>
          <w:p w14:paraId="36B14937" w14:textId="77777777" w:rsidR="00530E32" w:rsidRPr="007D38DE" w:rsidRDefault="00530E32" w:rsidP="001925A8">
            <w:pPr>
              <w:numPr>
                <w:ilvl w:val="0"/>
                <w:numId w:val="22"/>
              </w:numPr>
              <w:spacing w:after="0" w:line="252" w:lineRule="auto"/>
              <w:contextualSpacing/>
              <w:jc w:val="both"/>
              <w:rPr>
                <w:rFonts w:asciiTheme="majorBidi" w:hAnsiTheme="majorBidi" w:cstheme="majorBidi"/>
                <w:bCs/>
              </w:rPr>
            </w:pPr>
            <w:r w:rsidRPr="007D38DE">
              <w:rPr>
                <w:rFonts w:asciiTheme="majorBidi" w:hAnsiTheme="majorBidi" w:cstheme="majorBidi"/>
                <w:bCs/>
              </w:rPr>
              <w:t>If a separate SIB-configured initial DL BWP for RedCap UEs is configured,</w:t>
            </w:r>
          </w:p>
          <w:p w14:paraId="4A529361" w14:textId="77777777" w:rsidR="00530E32" w:rsidRPr="007D38DE" w:rsidRDefault="00530E32" w:rsidP="001925A8">
            <w:pPr>
              <w:pStyle w:val="ListParagraph"/>
              <w:numPr>
                <w:ilvl w:val="1"/>
                <w:numId w:val="22"/>
              </w:numPr>
              <w:spacing w:after="180" w:line="252" w:lineRule="auto"/>
              <w:contextualSpacing/>
              <w:jc w:val="both"/>
              <w:rPr>
                <w:rFonts w:asciiTheme="majorBidi" w:hAnsiTheme="majorBidi" w:cstheme="majorBidi"/>
                <w:bCs/>
                <w:sz w:val="20"/>
                <w:szCs w:val="20"/>
                <w:lang w:val="en-US"/>
              </w:rPr>
            </w:pPr>
            <w:r w:rsidRPr="007D38DE">
              <w:rPr>
                <w:rFonts w:asciiTheme="majorBidi" w:hAnsiTheme="majorBidi" w:cstheme="majorBidi"/>
                <w:bCs/>
                <w:sz w:val="20"/>
                <w:szCs w:val="20"/>
                <w:lang w:val="en-US"/>
              </w:rPr>
              <w:t>It contains at least one CORESET and at least one CSS.</w:t>
            </w:r>
          </w:p>
          <w:p w14:paraId="5CECC641" w14:textId="77777777" w:rsidR="00530E32" w:rsidRPr="007D38DE" w:rsidRDefault="00530E32" w:rsidP="001925A8">
            <w:pPr>
              <w:pStyle w:val="ListParagraph"/>
              <w:numPr>
                <w:ilvl w:val="1"/>
                <w:numId w:val="22"/>
              </w:numPr>
              <w:spacing w:after="180" w:line="252" w:lineRule="auto"/>
              <w:contextualSpacing/>
              <w:jc w:val="both"/>
              <w:rPr>
                <w:rFonts w:asciiTheme="majorBidi" w:hAnsiTheme="majorBidi" w:cstheme="majorBidi"/>
                <w:bCs/>
                <w:sz w:val="20"/>
                <w:szCs w:val="20"/>
                <w:lang w:val="en-US"/>
              </w:rPr>
            </w:pPr>
            <w:r w:rsidRPr="007D38DE">
              <w:rPr>
                <w:rFonts w:asciiTheme="majorBidi" w:hAnsiTheme="majorBidi" w:cstheme="majorBidi"/>
                <w:bCs/>
                <w:sz w:val="20"/>
                <w:szCs w:val="20"/>
                <w:lang w:val="en-US"/>
              </w:rPr>
              <w:t>It can be used both during and after initial access.</w:t>
            </w:r>
          </w:p>
          <w:p w14:paraId="027E998A" w14:textId="77777777" w:rsidR="00530E32" w:rsidRPr="006D7C88" w:rsidRDefault="00530E32" w:rsidP="001925A8">
            <w:pPr>
              <w:numPr>
                <w:ilvl w:val="0"/>
                <w:numId w:val="22"/>
              </w:numPr>
              <w:spacing w:after="0" w:line="252" w:lineRule="auto"/>
              <w:contextualSpacing/>
              <w:jc w:val="both"/>
              <w:rPr>
                <w:rFonts w:ascii="Times" w:eastAsia="Times New Roman" w:hAnsi="Times" w:cs="Times"/>
                <w:szCs w:val="20"/>
                <w:lang w:val="en-GB" w:eastAsia="ja-JP"/>
              </w:rPr>
            </w:pPr>
            <w:r w:rsidRPr="00F63816">
              <w:rPr>
                <w:rFonts w:asciiTheme="majorBidi" w:hAnsiTheme="majorBidi" w:cstheme="majorBidi"/>
                <w:color w:val="FF0000"/>
                <w:szCs w:val="20"/>
                <w:highlight w:val="yellow"/>
              </w:rPr>
              <w:t>FFS:</w:t>
            </w:r>
            <w:r w:rsidRPr="007D38DE">
              <w:rPr>
                <w:rFonts w:asciiTheme="majorBidi" w:hAnsiTheme="majorBidi" w:cstheme="majorBidi"/>
                <w:bCs/>
                <w:color w:val="FF0000"/>
                <w:szCs w:val="20"/>
              </w:rPr>
              <w:t xml:space="preserve"> </w:t>
            </w:r>
            <w:r w:rsidRPr="007D38DE">
              <w:rPr>
                <w:rFonts w:asciiTheme="majorBidi" w:hAnsiTheme="majorBidi" w:cstheme="majorBidi"/>
                <w:bCs/>
                <w:szCs w:val="20"/>
              </w:rPr>
              <w:t xml:space="preserve">However, if it contains the entire CORESET#0, the RedCap UE </w:t>
            </w:r>
            <w:bookmarkStart w:id="32" w:name="_Hlk86394929"/>
            <w:r w:rsidRPr="007D38DE">
              <w:rPr>
                <w:rFonts w:asciiTheme="majorBidi" w:hAnsiTheme="majorBidi" w:cstheme="majorBidi"/>
                <w:bCs/>
                <w:szCs w:val="20"/>
              </w:rPr>
              <w:t>shall use the bandwidth and location of the CORESET#0</w:t>
            </w:r>
            <w:r w:rsidRPr="007D38DE">
              <w:rPr>
                <w:rFonts w:asciiTheme="majorBidi" w:hAnsiTheme="majorBidi" w:cstheme="majorBidi"/>
                <w:bCs/>
                <w:color w:val="FF0000"/>
                <w:szCs w:val="20"/>
              </w:rPr>
              <w:t xml:space="preserve"> in DL</w:t>
            </w:r>
            <w:r w:rsidRPr="007D38DE">
              <w:rPr>
                <w:rFonts w:asciiTheme="majorBidi" w:hAnsiTheme="majorBidi" w:cstheme="majorBidi"/>
                <w:bCs/>
                <w:szCs w:val="20"/>
              </w:rPr>
              <w:t xml:space="preserve"> during initial access.</w:t>
            </w:r>
            <w:bookmarkEnd w:id="32"/>
          </w:p>
        </w:tc>
      </w:tr>
    </w:tbl>
    <w:p w14:paraId="3A02392F" w14:textId="670559BC" w:rsidR="009B0C10" w:rsidRDefault="009B0C10" w:rsidP="00C638BC">
      <w:pPr>
        <w:pStyle w:val="ArialText"/>
        <w:rPr>
          <w:b/>
          <w:u w:val="single"/>
        </w:rPr>
      </w:pPr>
    </w:p>
    <w:p w14:paraId="6BD83BAC" w14:textId="77777777" w:rsidR="00147999" w:rsidRPr="00A777F7" w:rsidRDefault="00147999" w:rsidP="00147999">
      <w:pPr>
        <w:pStyle w:val="ArialText"/>
        <w:ind w:left="60"/>
      </w:pPr>
      <w:r>
        <w:t>Also, the configuration of a DL BWP will naturally contain configuration of CORESET(s) and CSS(s). In fact, a</w:t>
      </w:r>
      <w:r w:rsidRPr="0048049C">
        <w:t>ccording to</w:t>
      </w:r>
      <w:r>
        <w:t xml:space="preserve"> </w:t>
      </w:r>
      <w:r w:rsidRPr="0048049C">
        <w:t>TS 38.213 Clause 12</w:t>
      </w:r>
      <w:r>
        <w:t xml:space="preserve">, </w:t>
      </w:r>
      <w:r>
        <w:rPr>
          <w:szCs w:val="20"/>
        </w:rPr>
        <w:t>t</w:t>
      </w:r>
      <w:r w:rsidRPr="0048049C">
        <w:rPr>
          <w:szCs w:val="20"/>
        </w:rPr>
        <w:t xml:space="preserve">he UE does not expect to be configured without a CSS set on the </w:t>
      </w:r>
      <w:proofErr w:type="spellStart"/>
      <w:r w:rsidRPr="0048049C">
        <w:rPr>
          <w:szCs w:val="20"/>
        </w:rPr>
        <w:t>PCell</w:t>
      </w:r>
      <w:proofErr w:type="spellEnd"/>
      <w:r>
        <w:t>:</w:t>
      </w:r>
    </w:p>
    <w:tbl>
      <w:tblPr>
        <w:tblStyle w:val="TableGrid"/>
        <w:tblW w:w="0" w:type="auto"/>
        <w:tblLook w:val="04A0" w:firstRow="1" w:lastRow="0" w:firstColumn="1" w:lastColumn="0" w:noHBand="0" w:noVBand="1"/>
      </w:tblPr>
      <w:tblGrid>
        <w:gridCol w:w="9620"/>
      </w:tblGrid>
      <w:tr w:rsidR="00147999" w14:paraId="0B811A85" w14:textId="77777777" w:rsidTr="004204CE">
        <w:trPr>
          <w:trHeight w:val="748"/>
        </w:trPr>
        <w:tc>
          <w:tcPr>
            <w:tcW w:w="9620" w:type="dxa"/>
          </w:tcPr>
          <w:p w14:paraId="61761E9B" w14:textId="77777777" w:rsidR="00147999" w:rsidRDefault="00147999" w:rsidP="004204CE">
            <w:pPr>
              <w:pStyle w:val="ArialText"/>
            </w:pPr>
            <w:r w:rsidRPr="0048049C">
              <w:rPr>
                <w:sz w:val="20"/>
                <w:szCs w:val="20"/>
              </w:rPr>
              <w:lastRenderedPageBreak/>
              <w:t xml:space="preserve">For each DL BWP in a set of DL BWPs of the </w:t>
            </w:r>
            <w:proofErr w:type="spellStart"/>
            <w:r w:rsidRPr="0048049C">
              <w:rPr>
                <w:sz w:val="20"/>
                <w:szCs w:val="20"/>
              </w:rPr>
              <w:t>PCell</w:t>
            </w:r>
            <w:proofErr w:type="spellEnd"/>
            <w:r w:rsidRPr="0048049C">
              <w:rPr>
                <w:sz w:val="20"/>
                <w:szCs w:val="20"/>
              </w:rPr>
              <w:t>, or of the PUCCH-</w:t>
            </w:r>
            <w:proofErr w:type="spellStart"/>
            <w:r w:rsidRPr="0048049C">
              <w:rPr>
                <w:sz w:val="20"/>
                <w:szCs w:val="20"/>
              </w:rPr>
              <w:t>SCell</w:t>
            </w:r>
            <w:proofErr w:type="spellEnd"/>
            <w:r w:rsidRPr="0048049C">
              <w:rPr>
                <w:sz w:val="20"/>
                <w:szCs w:val="20"/>
              </w:rPr>
              <w:t xml:space="preserve">, a UE can be configured CORESETs for every type of CSS sets and for USS as described in Clause 10.1. The UE does not expect to be configured without a CSS set on the </w:t>
            </w:r>
            <w:proofErr w:type="spellStart"/>
            <w:r w:rsidRPr="0048049C">
              <w:rPr>
                <w:sz w:val="20"/>
                <w:szCs w:val="20"/>
              </w:rPr>
              <w:t>PCell</w:t>
            </w:r>
            <w:proofErr w:type="spellEnd"/>
            <w:r w:rsidRPr="0048049C">
              <w:rPr>
                <w:sz w:val="20"/>
                <w:szCs w:val="20"/>
              </w:rPr>
              <w:t>.</w:t>
            </w:r>
          </w:p>
        </w:tc>
      </w:tr>
    </w:tbl>
    <w:p w14:paraId="72E31D9B" w14:textId="77777777" w:rsidR="00147999" w:rsidRDefault="00147999" w:rsidP="00147999">
      <w:pPr>
        <w:pStyle w:val="ArialText"/>
      </w:pPr>
    </w:p>
    <w:p w14:paraId="0DF3B37B" w14:textId="77777777" w:rsidR="00147999" w:rsidRDefault="00147999" w:rsidP="00147999">
      <w:pPr>
        <w:pStyle w:val="ArialText"/>
      </w:pPr>
      <w:r>
        <w:t>In particular, if a separate initial DL BWP is configured for RedCap, it should contain the configuration of CORESET/CSS for random access.</w:t>
      </w:r>
    </w:p>
    <w:p w14:paraId="0F5BC511" w14:textId="31E49E90" w:rsidR="00530E32" w:rsidRDefault="00530E32" w:rsidP="00530E32">
      <w:pPr>
        <w:pStyle w:val="Proposal"/>
      </w:pPr>
      <w:bookmarkStart w:id="33" w:name="_Toc83986554"/>
      <w:bookmarkStart w:id="34" w:name="_Toc87060632"/>
      <w:r>
        <w:t>A separate initial DL BWP for RedCap should contain configurations of CORESET/CSS at least for random access.</w:t>
      </w:r>
      <w:bookmarkEnd w:id="33"/>
      <w:r w:rsidR="000B7D4D">
        <w:t xml:space="preserve"> This applies to both FR1 and FR2.</w:t>
      </w:r>
      <w:bookmarkEnd w:id="34"/>
    </w:p>
    <w:p w14:paraId="53507A28" w14:textId="516B29D8" w:rsidR="00147999" w:rsidRDefault="00147999" w:rsidP="00C638BC">
      <w:pPr>
        <w:pStyle w:val="ArialText"/>
        <w:rPr>
          <w:b/>
          <w:u w:val="single"/>
        </w:rPr>
      </w:pPr>
    </w:p>
    <w:p w14:paraId="17313117" w14:textId="4924AC04" w:rsidR="00147999" w:rsidRDefault="00DD08BB" w:rsidP="00C638BC">
      <w:pPr>
        <w:pStyle w:val="ArialText"/>
      </w:pPr>
      <w:r w:rsidRPr="00AA3123">
        <w:t xml:space="preserve">Based on the current NR specifications, UEs can monitor PDCCH candidates intended for </w:t>
      </w:r>
      <w:r w:rsidRPr="00C343D0">
        <w:t>RAR/paging/system information</w:t>
      </w:r>
      <w:r>
        <w:t xml:space="preserve"> </w:t>
      </w:r>
      <w:r w:rsidRPr="00AA3123">
        <w:t>messages in CORESET #0 or another CORESET.</w:t>
      </w:r>
      <w:r>
        <w:t xml:space="preserve"> </w:t>
      </w:r>
      <w:r w:rsidRPr="00C343D0">
        <w:t xml:space="preserve">If the UE is not provided with a CORESET for any of </w:t>
      </w:r>
      <w:r>
        <w:t>the</w:t>
      </w:r>
      <w:r w:rsidRPr="00C343D0">
        <w:t xml:space="preserve"> Type0A-PDCCH/Type1-PDCCH/Type2-PDCCH</w:t>
      </w:r>
      <w:r>
        <w:t xml:space="preserve"> </w:t>
      </w:r>
      <w:r w:rsidRPr="00C343D0">
        <w:t>common search spaces, the corresponding CORESET would be CORESET #0. An additional CORESET (other than CORESET #0) may also be configured and used for RAR/paging/system</w:t>
      </w:r>
      <w:r>
        <w:t xml:space="preserve"> </w:t>
      </w:r>
      <w:r w:rsidRPr="00C343D0">
        <w:t xml:space="preserve">information. In this case, the network configures the </w:t>
      </w:r>
      <w:proofErr w:type="spellStart"/>
      <w:r w:rsidRPr="00817082">
        <w:rPr>
          <w:i/>
        </w:rPr>
        <w:t>commonControlResourceSet</w:t>
      </w:r>
      <w:proofErr w:type="spellEnd"/>
      <w:r w:rsidRPr="00C343D0">
        <w:t xml:space="preserve"> in SIB1 </w:t>
      </w:r>
      <w:r>
        <w:t>such</w:t>
      </w:r>
      <w:r w:rsidRPr="00C343D0">
        <w:t xml:space="preserve"> that it is contained in the bandwidth of CORESET #0.</w:t>
      </w:r>
      <w:r w:rsidR="00BF4A8F">
        <w:t xml:space="preserve"> </w:t>
      </w:r>
    </w:p>
    <w:p w14:paraId="1EE7F789" w14:textId="6239C6AE" w:rsidR="00E6675E" w:rsidRDefault="00E6675E" w:rsidP="00C638BC">
      <w:pPr>
        <w:pStyle w:val="ArialText"/>
      </w:pPr>
      <w:r>
        <w:t xml:space="preserve">For RedCap UEs, if </w:t>
      </w:r>
      <w:r w:rsidR="00AA555E">
        <w:t xml:space="preserve">the </w:t>
      </w:r>
      <w:r w:rsidR="00E30564">
        <w:t>separate</w:t>
      </w:r>
      <w:r w:rsidR="00AA555E">
        <w:t xml:space="preserve"> SIB-configured</w:t>
      </w:r>
      <w:r w:rsidR="00E30564">
        <w:t xml:space="preserve"> i</w:t>
      </w:r>
      <w:r w:rsidR="00AA555E">
        <w:t xml:space="preserve">nitial DL BWP contains the entire CORESET #0, </w:t>
      </w:r>
      <w:r w:rsidR="00B96F05">
        <w:t xml:space="preserve">similar behavior as legacy UEs can be considered. </w:t>
      </w:r>
      <w:r w:rsidR="007F6450">
        <w:t>In this case, RedCap UE</w:t>
      </w:r>
      <w:r w:rsidR="00B96F05">
        <w:t xml:space="preserve"> </w:t>
      </w:r>
      <w:r w:rsidR="00B96F05" w:rsidRPr="00B96F05">
        <w:t xml:space="preserve">shall use the </w:t>
      </w:r>
      <w:r w:rsidR="00B96F05" w:rsidRPr="00CA748D">
        <w:rPr>
          <w:u w:val="single"/>
        </w:rPr>
        <w:t>bandwidth and location of the CORESET#0</w:t>
      </w:r>
      <w:r w:rsidR="00B96F05" w:rsidRPr="00B96F05">
        <w:t xml:space="preserve"> in DL during initial access.</w:t>
      </w:r>
      <w:r w:rsidR="00B96F05">
        <w:t xml:space="preserve"> </w:t>
      </w:r>
    </w:p>
    <w:p w14:paraId="55CACDE0" w14:textId="5A5EE3E0" w:rsidR="004A2474" w:rsidRDefault="004A2474" w:rsidP="00E45E9F">
      <w:pPr>
        <w:pStyle w:val="Proposal"/>
      </w:pPr>
      <w:bookmarkStart w:id="35" w:name="_Toc87060633"/>
      <w:r>
        <w:t xml:space="preserve">If a separate SIB-configured initial DL BWP for RedCap contains the entire MIB-configured CORESET #0, </w:t>
      </w:r>
      <w:r w:rsidRPr="004A2474">
        <w:t>the RedCap UE shall use the bandwidth and location of the CORESET#0 in DL during initial access.</w:t>
      </w:r>
      <w:bookmarkEnd w:id="35"/>
    </w:p>
    <w:p w14:paraId="2DF45B50" w14:textId="77777777" w:rsidR="00B148B7" w:rsidRPr="00FE21CE" w:rsidRDefault="00B148B7" w:rsidP="00B148B7">
      <w:pPr>
        <w:pStyle w:val="Proposal"/>
        <w:numPr>
          <w:ilvl w:val="0"/>
          <w:numId w:val="0"/>
        </w:numPr>
        <w:ind w:left="1304"/>
      </w:pPr>
    </w:p>
    <w:p w14:paraId="64BB9940" w14:textId="067B7143" w:rsidR="00C638BC" w:rsidRDefault="00C638BC" w:rsidP="00C638BC">
      <w:pPr>
        <w:pStyle w:val="ArialText"/>
        <w:rPr>
          <w:b/>
          <w:u w:val="single"/>
        </w:rPr>
      </w:pPr>
      <w:r w:rsidRPr="00FE21CE">
        <w:rPr>
          <w:b/>
          <w:u w:val="single"/>
        </w:rPr>
        <w:t xml:space="preserve">Whether </w:t>
      </w:r>
      <w:r w:rsidR="00103F46">
        <w:rPr>
          <w:b/>
          <w:u w:val="single"/>
        </w:rPr>
        <w:t>a separate SIB-configured</w:t>
      </w:r>
      <w:r w:rsidRPr="00FE21CE">
        <w:rPr>
          <w:b/>
          <w:u w:val="single"/>
        </w:rPr>
        <w:t xml:space="preserve"> initial DL BWP contains the entire CORESET #0:</w:t>
      </w:r>
    </w:p>
    <w:p w14:paraId="0BF30A4A" w14:textId="2A2D825F" w:rsidR="00C638BC" w:rsidRDefault="00C638BC" w:rsidP="00C638BC">
      <w:pPr>
        <w:pStyle w:val="ArialText"/>
      </w:pPr>
      <w:r>
        <w:t xml:space="preserve">The key motivation of configuring a separate SIB-configured initial DL BWP for RedCap is that it enables the TDD UL/DL center frequency alignment when the initial UL BWP is placed at the edge of the carrier for minimizing the PUSCH resource fragmentation. In TDD scenarios, if the initial UL BWP and initial DL BWP </w:t>
      </w:r>
      <w:r w:rsidR="00103F46">
        <w:t xml:space="preserve">for RedCap UEs </w:t>
      </w:r>
      <w:r>
        <w:t>should have the same center frequency, the DL BWP also needs to be placed close to the edge of the carrier.</w:t>
      </w:r>
      <w:r w:rsidR="0024140C">
        <w:t xml:space="preserve"> </w:t>
      </w:r>
      <w:r>
        <w:t>A s</w:t>
      </w:r>
      <w:r w:rsidR="00242FA5">
        <w:t>e</w:t>
      </w:r>
      <w:r>
        <w:t>p</w:t>
      </w:r>
      <w:r w:rsidR="00242FA5">
        <w:t>a</w:t>
      </w:r>
      <w:r>
        <w:t>rate initial DL BWP can also be beneficial for offloading during the initial access.</w:t>
      </w:r>
      <w:r w:rsidR="0024140C">
        <w:t xml:space="preserve"> </w:t>
      </w:r>
      <w:r>
        <w:t>Here, two cases can be considered for RedCap:</w:t>
      </w:r>
    </w:p>
    <w:p w14:paraId="05DE6ACA" w14:textId="422F82A0" w:rsidR="00C638BC" w:rsidRPr="00DB5455" w:rsidRDefault="00C638BC" w:rsidP="000942C7">
      <w:pPr>
        <w:pStyle w:val="ArialText"/>
        <w:numPr>
          <w:ilvl w:val="0"/>
          <w:numId w:val="16"/>
        </w:numPr>
        <w:ind w:left="270"/>
        <w:rPr>
          <w:b/>
        </w:rPr>
      </w:pPr>
      <w:r w:rsidRPr="00CD62D7">
        <w:rPr>
          <w:b/>
          <w:bCs/>
        </w:rPr>
        <w:t>Case 1:</w:t>
      </w:r>
      <w:r w:rsidRPr="00DB5455">
        <w:rPr>
          <w:b/>
        </w:rPr>
        <w:t xml:space="preserve"> </w:t>
      </w:r>
      <w:r w:rsidR="003F43EB">
        <w:rPr>
          <w:b/>
        </w:rPr>
        <w:t>Separate</w:t>
      </w:r>
      <w:r w:rsidRPr="00DB5455">
        <w:rPr>
          <w:b/>
        </w:rPr>
        <w:t xml:space="preserve"> initial DL BWP does not necessarily contain the entire CORESET #0.</w:t>
      </w:r>
    </w:p>
    <w:p w14:paraId="440D0384" w14:textId="3516C2E4" w:rsidR="00F94C53" w:rsidRDefault="00C638BC" w:rsidP="00965867">
      <w:pPr>
        <w:pStyle w:val="ArialText"/>
        <w:ind w:left="270"/>
        <w:rPr>
          <w:rFonts w:cs="Arial"/>
          <w:szCs w:val="20"/>
        </w:rPr>
      </w:pPr>
      <w:r>
        <w:t xml:space="preserve">In this case, the location of the </w:t>
      </w:r>
      <w:r w:rsidR="000A2B66" w:rsidRPr="000A2B66">
        <w:t>SIB-configured</w:t>
      </w:r>
      <w:r>
        <w:t xml:space="preserve"> initial DL BWP is not constrained with the frequency location of CORESET #0 and, hence, there is flexibility in placing the initial DL BWP. For example, in a TDD scenario with initial UL BWP being located at the edge of the carrier, the initial DL BWP can also be placed close to the edge of the carrier and be co-centered with the initial UL BWP. </w:t>
      </w:r>
      <w:r w:rsidR="00181188">
        <w:t xml:space="preserve">Meanwhile, when the initial DL BWP does not contain the entire CORESET #0, there is also a benefit from offloading perspective. </w:t>
      </w:r>
      <w:r>
        <w:t>However, since the UE needs to rely on CORESET #0</w:t>
      </w:r>
      <w:r w:rsidR="00C717CE">
        <w:t xml:space="preserve"> at least</w:t>
      </w:r>
      <w:r>
        <w:t xml:space="preserve"> for acquiring SIB1, it may need to switch to CORESET #0 when the initial DL BWP does not contain the entire CORESET #0.</w:t>
      </w:r>
      <w:r w:rsidR="00063A85">
        <w:t xml:space="preserve"> </w:t>
      </w:r>
      <w:r w:rsidR="007172C5">
        <w:rPr>
          <w:rFonts w:cs="Arial"/>
          <w:szCs w:val="20"/>
        </w:rPr>
        <w:t>Note</w:t>
      </w:r>
      <w:r w:rsidR="00063A85">
        <w:rPr>
          <w:rFonts w:cs="Arial"/>
          <w:szCs w:val="20"/>
        </w:rPr>
        <w:t xml:space="preserve"> that after decoding MIB, the UE has the required information (e.g., CORESET #0 configuration) for acquiring SIB1. Therefore, SIB1 must be scheduled using CORESET #0 </w:t>
      </w:r>
      <w:r w:rsidR="00063A85" w:rsidRPr="00F62626">
        <w:rPr>
          <w:rFonts w:cs="Arial"/>
          <w:szCs w:val="20"/>
        </w:rPr>
        <w:t xml:space="preserve">as it is not possible to configure a separate CORESET for SIB1 in the MIB </w:t>
      </w:r>
      <w:r w:rsidR="00063A85">
        <w:rPr>
          <w:rFonts w:cs="Arial"/>
          <w:szCs w:val="20"/>
        </w:rPr>
        <w:t>which only</w:t>
      </w:r>
      <w:r w:rsidR="00063A85" w:rsidRPr="00F62626">
        <w:rPr>
          <w:rFonts w:cs="Arial"/>
          <w:szCs w:val="20"/>
        </w:rPr>
        <w:t xml:space="preserve"> has 1 spare bit left.</w:t>
      </w:r>
      <w:r w:rsidR="00315422">
        <w:rPr>
          <w:rFonts w:cs="Arial"/>
          <w:szCs w:val="20"/>
        </w:rPr>
        <w:t xml:space="preserve"> </w:t>
      </w:r>
      <w:r w:rsidR="00315422" w:rsidRPr="00315422">
        <w:rPr>
          <w:rFonts w:cs="Arial"/>
          <w:szCs w:val="20"/>
        </w:rPr>
        <w:t>Thus</w:t>
      </w:r>
      <w:r w:rsidR="00F94C53">
        <w:rPr>
          <w:rFonts w:cs="Arial"/>
          <w:szCs w:val="20"/>
        </w:rPr>
        <w:t>,</w:t>
      </w:r>
      <w:r w:rsidR="00315422" w:rsidRPr="00315422">
        <w:rPr>
          <w:rFonts w:cs="Arial"/>
          <w:szCs w:val="20"/>
        </w:rPr>
        <w:t xml:space="preserve"> we can only have one MIB-configured CORESET #0.</w:t>
      </w:r>
      <w:r w:rsidR="00063A85">
        <w:rPr>
          <w:rFonts w:cs="Arial"/>
          <w:szCs w:val="20"/>
        </w:rPr>
        <w:t xml:space="preserve"> SIB1 also provides information about availability and scheduling (e.g., </w:t>
      </w:r>
      <w:r w:rsidR="00063A85" w:rsidRPr="00573FE4">
        <w:rPr>
          <w:rFonts w:cs="Arial"/>
          <w:szCs w:val="20"/>
        </w:rPr>
        <w:t>periodicity, SI-window size</w:t>
      </w:r>
      <w:r w:rsidR="00063A85">
        <w:rPr>
          <w:rFonts w:cs="Arial"/>
          <w:szCs w:val="20"/>
        </w:rPr>
        <w:t>) of other SIBs (</w:t>
      </w:r>
      <w:proofErr w:type="spellStart"/>
      <w:r w:rsidR="00063A85">
        <w:rPr>
          <w:rFonts w:cs="Arial"/>
          <w:szCs w:val="20"/>
        </w:rPr>
        <w:t>SIBx</w:t>
      </w:r>
      <w:proofErr w:type="spellEnd"/>
      <w:r w:rsidR="00063A85">
        <w:rPr>
          <w:rFonts w:cs="Arial"/>
          <w:szCs w:val="20"/>
        </w:rPr>
        <w:t xml:space="preserve"> with x&gt;1, e.g., SIB2, SIB3, etc.) which may or may not be scheduled using CORESET #0. </w:t>
      </w:r>
      <w:r w:rsidR="00876914">
        <w:rPr>
          <w:rFonts w:cs="Arial"/>
          <w:szCs w:val="20"/>
        </w:rPr>
        <w:t>Hence, i</w:t>
      </w:r>
      <w:r w:rsidR="00063A85">
        <w:rPr>
          <w:rFonts w:cs="Arial"/>
          <w:szCs w:val="20"/>
        </w:rPr>
        <w:t xml:space="preserve">f the </w:t>
      </w:r>
      <w:r w:rsidR="00063A85">
        <w:t xml:space="preserve">SIB-configured initial DL BWP does not contain the entire CORESET #0, a RedCap UE </w:t>
      </w:r>
      <w:r w:rsidR="00876914">
        <w:t xml:space="preserve">may need to </w:t>
      </w:r>
      <w:r w:rsidR="00D53FED">
        <w:t xml:space="preserve">switch to CORESET #0 for </w:t>
      </w:r>
      <w:r w:rsidR="00B520A5">
        <w:t>SIB</w:t>
      </w:r>
      <w:r w:rsidR="007172C5">
        <w:t>1 (and potentially other SIBs) updates.</w:t>
      </w:r>
      <w:r>
        <w:t xml:space="preserve"> </w:t>
      </w:r>
      <w:r w:rsidRPr="00AA3123">
        <w:t>We note that</w:t>
      </w:r>
      <w:r w:rsidR="001C6663">
        <w:rPr>
          <w:rFonts w:cs="Arial"/>
          <w:szCs w:val="20"/>
        </w:rPr>
        <w:t xml:space="preserve">, </w:t>
      </w:r>
      <w:r w:rsidR="004D2248">
        <w:rPr>
          <w:rFonts w:cs="Arial"/>
          <w:szCs w:val="20"/>
        </w:rPr>
        <w:t>when</w:t>
      </w:r>
      <w:r w:rsidR="00F94C53" w:rsidRPr="00F94C53">
        <w:rPr>
          <w:rFonts w:cs="Arial"/>
          <w:szCs w:val="20"/>
        </w:rPr>
        <w:t xml:space="preserve"> </w:t>
      </w:r>
      <w:r w:rsidR="001C6663" w:rsidRPr="00F94C53">
        <w:rPr>
          <w:rFonts w:cs="Arial"/>
          <w:szCs w:val="20"/>
        </w:rPr>
        <w:t>the RedCap initial DL BWP</w:t>
      </w:r>
      <w:r w:rsidR="001C6663">
        <w:rPr>
          <w:rFonts w:cs="Arial"/>
          <w:szCs w:val="20"/>
        </w:rPr>
        <w:t xml:space="preserve"> contains the configurations of</w:t>
      </w:r>
      <w:r w:rsidR="001C6663" w:rsidRPr="00F94C53">
        <w:rPr>
          <w:rFonts w:cs="Arial"/>
          <w:szCs w:val="20"/>
        </w:rPr>
        <w:t xml:space="preserve"> </w:t>
      </w:r>
      <w:r w:rsidR="00F94C53" w:rsidRPr="00F94C53">
        <w:rPr>
          <w:rFonts w:cs="Arial"/>
          <w:szCs w:val="20"/>
        </w:rPr>
        <w:t>CORESET/CSS for random access and paging, the UE is not expected to retune periodically to monitor CORESET#0. The UE would only need to retune to read SIB1 when there is SI update notification in the paging DCI, and this is expected to happen infrequently.</w:t>
      </w:r>
    </w:p>
    <w:p w14:paraId="693B4404" w14:textId="77777777" w:rsidR="00340E4E" w:rsidRDefault="00340E4E" w:rsidP="00340E4E">
      <w:pPr>
        <w:keepNext/>
      </w:pPr>
      <w:r>
        <w:rPr>
          <w:noProof/>
        </w:rPr>
        <w:lastRenderedPageBreak/>
        <w:drawing>
          <wp:inline distT="0" distB="0" distL="0" distR="0" wp14:anchorId="0CB1E3F0" wp14:editId="1F82172D">
            <wp:extent cx="5237545" cy="1686534"/>
            <wp:effectExtent l="0" t="0" r="127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5"/>
                    <a:stretch>
                      <a:fillRect/>
                    </a:stretch>
                  </pic:blipFill>
                  <pic:spPr>
                    <a:xfrm>
                      <a:off x="0" y="0"/>
                      <a:ext cx="5261696" cy="1694311"/>
                    </a:xfrm>
                    <a:prstGeom prst="rect">
                      <a:avLst/>
                    </a:prstGeom>
                  </pic:spPr>
                </pic:pic>
              </a:graphicData>
            </a:graphic>
          </wp:inline>
        </w:drawing>
      </w:r>
    </w:p>
    <w:p w14:paraId="21AD3408" w14:textId="412E5DEF" w:rsidR="00340E4E" w:rsidRDefault="00340E4E" w:rsidP="00AF5EE6">
      <w:pPr>
        <w:pStyle w:val="Caption"/>
        <w:jc w:val="center"/>
      </w:pPr>
      <w:bookmarkStart w:id="36" w:name="_Ref82193075"/>
      <w:r>
        <w:t xml:space="preserve">Figure </w:t>
      </w:r>
      <w:r>
        <w:fldChar w:fldCharType="begin"/>
      </w:r>
      <w:r>
        <w:instrText xml:space="preserve"> SEQ Figure \* ARABIC </w:instrText>
      </w:r>
      <w:r>
        <w:fldChar w:fldCharType="separate"/>
      </w:r>
      <w:r w:rsidR="007A78E0">
        <w:rPr>
          <w:noProof/>
        </w:rPr>
        <w:t>3</w:t>
      </w:r>
      <w:r>
        <w:fldChar w:fldCharType="end"/>
      </w:r>
      <w:bookmarkEnd w:id="36"/>
      <w:r>
        <w:t xml:space="preserve">: </w:t>
      </w:r>
      <w:bookmarkStart w:id="37" w:name="_Ref82193067"/>
      <w:r>
        <w:t>Initial UL/DL BWPs configurations in TDD (RedCap DL BWP does not cover CORESET #0)</w:t>
      </w:r>
      <w:bookmarkEnd w:id="37"/>
      <w:r>
        <w:t>.</w:t>
      </w:r>
    </w:p>
    <w:p w14:paraId="1F570A85" w14:textId="77777777" w:rsidR="00340E4E" w:rsidRDefault="00340E4E" w:rsidP="00965867">
      <w:pPr>
        <w:pStyle w:val="ArialText"/>
        <w:ind w:left="270"/>
        <w:rPr>
          <w:rFonts w:cs="Arial"/>
          <w:szCs w:val="20"/>
        </w:rPr>
      </w:pPr>
    </w:p>
    <w:p w14:paraId="12BEA524" w14:textId="2E979396" w:rsidR="00C638BC" w:rsidRPr="00DB5455" w:rsidRDefault="00C638BC" w:rsidP="000942C7">
      <w:pPr>
        <w:pStyle w:val="ArialText"/>
        <w:numPr>
          <w:ilvl w:val="0"/>
          <w:numId w:val="16"/>
        </w:numPr>
        <w:ind w:left="270"/>
        <w:rPr>
          <w:b/>
        </w:rPr>
      </w:pPr>
      <w:r w:rsidRPr="00CD62D7">
        <w:rPr>
          <w:b/>
          <w:bCs/>
        </w:rPr>
        <w:t>Case 2:</w:t>
      </w:r>
      <w:r w:rsidRPr="00DB5455">
        <w:rPr>
          <w:b/>
        </w:rPr>
        <w:t xml:space="preserve"> </w:t>
      </w:r>
      <w:r w:rsidR="003F43EB">
        <w:rPr>
          <w:b/>
        </w:rPr>
        <w:t>Separate</w:t>
      </w:r>
      <w:r w:rsidRPr="00DB5455">
        <w:rPr>
          <w:b/>
        </w:rPr>
        <w:t xml:space="preserve"> initial DL BWP must contain the entire CORESET #0.</w:t>
      </w:r>
    </w:p>
    <w:p w14:paraId="0F86E768" w14:textId="725A4BBE" w:rsidR="004816CE" w:rsidRDefault="00C638BC" w:rsidP="007708DC">
      <w:pPr>
        <w:pStyle w:val="ArialText"/>
        <w:ind w:left="270"/>
      </w:pPr>
      <w:r>
        <w:t xml:space="preserve">In this case, like Rel-15/16 NR UEs the initial DL BWP contains the entire CORESET #0 thus it can receive SIB without any need for RF retuning. However, if CORESET #0 is not located close to the edge carrier, the initial DL BWP will not be at the edge. Consequently, in TDD, when the initial UL BWP is located at the carrier edge, the initial DL BWP may not have the same center frequency which results in the RF retuning between UL BWP and DL BWP center frequencies. Further, due to the RedCap UE bandwidth limitation, a separate initial DL BWP that contains CORESET #0 does not </w:t>
      </w:r>
      <w:r w:rsidRPr="00AA3123">
        <w:t>provide considerable offloading benefits</w:t>
      </w:r>
      <w:r w:rsidR="00DC0101">
        <w:t>.</w:t>
      </w:r>
      <w:r w:rsidR="00965F7C">
        <w:t xml:space="preserve"> Note that, in TDD, the following two conditions may not be simultaneously satisfied: 1) Initial DL BWP contains CORESET #0 and 2) </w:t>
      </w:r>
      <w:r w:rsidR="006D4D6B">
        <w:t>Center frequency alignment</w:t>
      </w:r>
      <w:r w:rsidR="00182704">
        <w:t xml:space="preserve"> for initial UL/DL BWPs.</w:t>
      </w:r>
      <w:r w:rsidR="001C5D10">
        <w:t xml:space="preserve"> As an example, </w:t>
      </w:r>
      <w:r w:rsidR="001C5D10">
        <w:fldChar w:fldCharType="begin"/>
      </w:r>
      <w:r w:rsidR="001C5D10">
        <w:instrText xml:space="preserve"> REF _Ref82193075 \h </w:instrText>
      </w:r>
      <w:r w:rsidR="001C5D10">
        <w:fldChar w:fldCharType="separate"/>
      </w:r>
      <w:r w:rsidR="007A78E0">
        <w:t xml:space="preserve">Figure </w:t>
      </w:r>
      <w:r w:rsidR="007A78E0">
        <w:rPr>
          <w:noProof/>
        </w:rPr>
        <w:t>3</w:t>
      </w:r>
      <w:r w:rsidR="001C5D10">
        <w:fldChar w:fldCharType="end"/>
      </w:r>
      <w:r w:rsidR="001C5D10">
        <w:t xml:space="preserve"> illustrate a configuration of </w:t>
      </w:r>
      <w:r w:rsidR="004E5B52">
        <w:t xml:space="preserve">TDD </w:t>
      </w:r>
      <w:r w:rsidR="001C5D10">
        <w:t>initial UL/DL BWPs</w:t>
      </w:r>
      <w:r w:rsidR="004E5B52">
        <w:t xml:space="preserve"> in which the RedCap initial DL BWP cannot cover CORESET #0 if it is aligned with the RedCap initial UL BWP located at the carrier edge.</w:t>
      </w:r>
      <w:r w:rsidR="001C5D10">
        <w:t xml:space="preserve"> </w:t>
      </w:r>
      <w:r w:rsidR="008271D0">
        <w:t>Therefore</w:t>
      </w:r>
      <w:r w:rsidR="00DC0101">
        <w:t>, the</w:t>
      </w:r>
      <w:r w:rsidR="008271D0">
        <w:t xml:space="preserve"> if the separate initial</w:t>
      </w:r>
      <w:r w:rsidR="00DC0101">
        <w:t xml:space="preserve"> DL BWP</w:t>
      </w:r>
      <w:r w:rsidR="008271D0">
        <w:t xml:space="preserve"> for RedCap</w:t>
      </w:r>
      <w:r w:rsidR="00DC0101">
        <w:t xml:space="preserve"> </w:t>
      </w:r>
      <w:r w:rsidR="008271D0">
        <w:t xml:space="preserve">must </w:t>
      </w:r>
      <w:r w:rsidR="00DC0101">
        <w:t>contain CORESET #0, it must</w:t>
      </w:r>
      <w:r w:rsidR="008271D0">
        <w:t xml:space="preserve"> also</w:t>
      </w:r>
      <w:r w:rsidR="00DC0101">
        <w:t xml:space="preserve"> be allowed to</w:t>
      </w:r>
      <w:r w:rsidR="00B236C8">
        <w:t xml:space="preserve"> have</w:t>
      </w:r>
      <w:r w:rsidR="00DC0101">
        <w:t xml:space="preserve"> different center frequencies for initial UL and DL BWPs</w:t>
      </w:r>
      <w:r w:rsidR="00B236C8">
        <w:t xml:space="preserve"> in TDD</w:t>
      </w:r>
      <w:r w:rsidR="00DC0101">
        <w:t>.</w:t>
      </w:r>
      <w:r>
        <w:t xml:space="preserve"> </w:t>
      </w:r>
    </w:p>
    <w:p w14:paraId="79AE99FC" w14:textId="0A4F9A94" w:rsidR="00C638BC" w:rsidRDefault="00C638BC" w:rsidP="00C638BC">
      <w:pPr>
        <w:pStyle w:val="ArialText"/>
      </w:pPr>
      <w:r>
        <w:t>In terms of RF retuning, the potential RF retuning needed for acquiring SIB1</w:t>
      </w:r>
      <w:r w:rsidR="00320F83">
        <w:t xml:space="preserve"> (and potentially other SIBs)</w:t>
      </w:r>
      <w:r w:rsidR="000129F5">
        <w:t xml:space="preserve"> updates</w:t>
      </w:r>
      <w:r>
        <w:t xml:space="preserve"> (scheduled using CORESET #0) is not frequent.</w:t>
      </w:r>
      <w:r w:rsidR="000129F5">
        <w:t xml:space="preserve"> Also,</w:t>
      </w:r>
      <w:r>
        <w:t xml:space="preserve"> </w:t>
      </w:r>
      <w:r w:rsidR="000129F5">
        <w:t>i</w:t>
      </w:r>
      <w:r>
        <w:t>n term</w:t>
      </w:r>
      <w:r w:rsidR="00FC7466">
        <w:t>s</w:t>
      </w:r>
      <w:r>
        <w:t xml:space="preserve"> of </w:t>
      </w:r>
      <w:r w:rsidR="00FC7466">
        <w:t xml:space="preserve">flexibility and </w:t>
      </w:r>
      <w:r>
        <w:t>offloading</w:t>
      </w:r>
      <w:r w:rsidR="007B2311">
        <w:t xml:space="preserve"> (</w:t>
      </w:r>
      <w:r w:rsidR="000D21CA">
        <w:t>if needed</w:t>
      </w:r>
      <w:r w:rsidR="007B2311">
        <w:t>),</w:t>
      </w:r>
      <w:r>
        <w:t xml:space="preserve"> Case 1 outperforms Case 2.</w:t>
      </w:r>
    </w:p>
    <w:p w14:paraId="6820DEA4" w14:textId="68A0B461" w:rsidR="003A26A5" w:rsidRDefault="00DD39C2" w:rsidP="00DD39C2">
      <w:pPr>
        <w:pStyle w:val="Proposal"/>
      </w:pPr>
      <w:bookmarkStart w:id="38" w:name="_Toc79132265"/>
      <w:bookmarkStart w:id="39" w:name="_Toc79132760"/>
      <w:bookmarkStart w:id="40" w:name="_Toc79135192"/>
      <w:bookmarkStart w:id="41" w:name="_Toc79135460"/>
      <w:bookmarkStart w:id="42" w:name="_Toc79135585"/>
      <w:bookmarkStart w:id="43" w:name="_Toc79135699"/>
      <w:bookmarkStart w:id="44" w:name="_Toc79135800"/>
      <w:bookmarkStart w:id="45" w:name="_Toc79135894"/>
      <w:bookmarkStart w:id="46" w:name="_Toc79135985"/>
      <w:bookmarkStart w:id="47" w:name="_Toc79136094"/>
      <w:bookmarkStart w:id="48" w:name="_Toc79137597"/>
      <w:bookmarkStart w:id="49" w:name="_Toc79137641"/>
      <w:bookmarkStart w:id="50" w:name="_Toc79145768"/>
      <w:bookmarkStart w:id="51" w:name="_Toc87060634"/>
      <w:bookmarkEnd w:id="38"/>
      <w:bookmarkEnd w:id="39"/>
      <w:bookmarkEnd w:id="40"/>
      <w:bookmarkEnd w:id="41"/>
      <w:bookmarkEnd w:id="42"/>
      <w:bookmarkEnd w:id="43"/>
      <w:bookmarkEnd w:id="44"/>
      <w:bookmarkEnd w:id="45"/>
      <w:bookmarkEnd w:id="46"/>
      <w:bookmarkEnd w:id="47"/>
      <w:bookmarkEnd w:id="48"/>
      <w:bookmarkEnd w:id="49"/>
      <w:bookmarkEnd w:id="50"/>
      <w:r>
        <w:t xml:space="preserve">In TDD, </w:t>
      </w:r>
      <w:r w:rsidR="003258D6">
        <w:t>the</w:t>
      </w:r>
      <w:r>
        <w:t xml:space="preserve"> </w:t>
      </w:r>
      <w:r w:rsidR="003F43EB">
        <w:t>separat</w:t>
      </w:r>
      <w:r w:rsidR="00626126">
        <w:t>e</w:t>
      </w:r>
      <w:r>
        <w:t xml:space="preserve"> initial DL BWP for RedCap</w:t>
      </w:r>
      <w:r w:rsidR="003258D6">
        <w:t xml:space="preserve"> </w:t>
      </w:r>
      <w:r w:rsidR="00F51B81">
        <w:t>does not need to</w:t>
      </w:r>
      <w:r w:rsidR="003258D6">
        <w:t xml:space="preserve"> contain</w:t>
      </w:r>
      <w:r>
        <w:t xml:space="preserve"> the entire CORESET #0.</w:t>
      </w:r>
      <w:bookmarkEnd w:id="51"/>
      <w:r w:rsidR="0024140C">
        <w:t xml:space="preserve"> </w:t>
      </w:r>
    </w:p>
    <w:p w14:paraId="4B8CAB5F" w14:textId="77777777" w:rsidR="003258D6" w:rsidRPr="00A359BE" w:rsidRDefault="003258D6" w:rsidP="003258D6">
      <w:pPr>
        <w:pStyle w:val="Proposal"/>
        <w:numPr>
          <w:ilvl w:val="0"/>
          <w:numId w:val="0"/>
        </w:numPr>
        <w:ind w:left="1304"/>
      </w:pPr>
    </w:p>
    <w:p w14:paraId="58FCF530" w14:textId="79E262E7" w:rsidR="00C638BC" w:rsidRPr="00A359BE" w:rsidRDefault="00C638BC" w:rsidP="00A359BE">
      <w:pPr>
        <w:pStyle w:val="ArialText"/>
        <w:rPr>
          <w:b/>
          <w:u w:val="single"/>
        </w:rPr>
      </w:pPr>
      <w:r w:rsidRPr="00FE21CE">
        <w:rPr>
          <w:b/>
          <w:u w:val="single"/>
        </w:rPr>
        <w:t>Supported bandwidths in the separate initial DL BWP:</w:t>
      </w:r>
    </w:p>
    <w:p w14:paraId="55C3CE5C" w14:textId="49A6A213" w:rsidR="00C638BC" w:rsidRDefault="00C638BC" w:rsidP="00A359BE">
      <w:pPr>
        <w:pStyle w:val="ArialText"/>
      </w:pPr>
      <w:r>
        <w:t xml:space="preserve">The bandwidth of a MIB-configured initial DL BWP (i.e., CORESET #0) can be 24, 48, or 96 PRBs. The bandwidth and location of a SIB-configured initial DL BWP is determined based on a </w:t>
      </w:r>
      <w:r w:rsidRPr="006C37AF">
        <w:t>resource indicator value (RIV)</w:t>
      </w:r>
      <w:r>
        <w:t xml:space="preserve"> provided in IE </w:t>
      </w:r>
      <w:proofErr w:type="spellStart"/>
      <w:r w:rsidRPr="00265A72">
        <w:rPr>
          <w:i/>
          <w:iCs/>
        </w:rPr>
        <w:t>locationAndBandwidth</w:t>
      </w:r>
      <w:proofErr w:type="spellEnd"/>
      <w:r>
        <w:rPr>
          <w:i/>
          <w:iCs/>
        </w:rPr>
        <w:t xml:space="preserve"> </w:t>
      </w:r>
      <w:r>
        <w:t>in the BWP configuration. For non-RedCap UEs the size of the BWP can be up to the maximum UE bandwidth. Similarly, for RedCap UEs the bandwidth of the separate initial DL BWP c</w:t>
      </w:r>
      <w:r w:rsidR="00141569">
        <w:t xml:space="preserve">an have any value </w:t>
      </w:r>
      <w:r>
        <w:t>up to the maximum UE bandwidth (i.e., 20 MHz in FR1 and 100 MHz in FR2).</w:t>
      </w:r>
      <w:r w:rsidR="00141569">
        <w:t xml:space="preserve"> </w:t>
      </w:r>
    </w:p>
    <w:p w14:paraId="4AABCBC8" w14:textId="77777777" w:rsidR="0037497D" w:rsidRDefault="0037497D" w:rsidP="0037497D">
      <w:pPr>
        <w:jc w:val="both"/>
        <w:rPr>
          <w:szCs w:val="20"/>
        </w:rPr>
      </w:pPr>
      <w:bookmarkStart w:id="52" w:name="_Toc71530329"/>
      <w:bookmarkStart w:id="53" w:name="_Toc71530390"/>
      <w:bookmarkStart w:id="54" w:name="_Toc71530462"/>
      <w:bookmarkStart w:id="55" w:name="_Toc71530644"/>
      <w:bookmarkStart w:id="56" w:name="_Toc71539250"/>
    </w:p>
    <w:p w14:paraId="3BB5A4FA" w14:textId="6932D9D6" w:rsidR="0037497D" w:rsidRPr="00F8726E" w:rsidRDefault="00A73563" w:rsidP="0037497D">
      <w:pPr>
        <w:pStyle w:val="Heading2"/>
      </w:pPr>
      <w:r>
        <w:t>3</w:t>
      </w:r>
      <w:r w:rsidR="0037497D" w:rsidRPr="00AA3123">
        <w:t>.</w:t>
      </w:r>
      <w:r w:rsidR="0037497D">
        <w:t>2</w:t>
      </w:r>
      <w:r w:rsidR="0037497D">
        <w:tab/>
        <w:t>UL/DL center frequency in TDD</w:t>
      </w:r>
    </w:p>
    <w:p w14:paraId="380F2D07" w14:textId="50F9C068" w:rsidR="005805FB" w:rsidRDefault="005805FB" w:rsidP="005805FB">
      <w:pPr>
        <w:pStyle w:val="ArialText"/>
      </w:pPr>
      <w:r>
        <w:t>Regarding TDD UL/DL center frequency alignment, we have the agreements and FFSs:</w:t>
      </w:r>
    </w:p>
    <w:tbl>
      <w:tblPr>
        <w:tblW w:w="9629" w:type="dxa"/>
        <w:tblCellMar>
          <w:left w:w="0" w:type="dxa"/>
          <w:right w:w="0" w:type="dxa"/>
        </w:tblCellMar>
        <w:tblLook w:val="04A0" w:firstRow="1" w:lastRow="0" w:firstColumn="1" w:lastColumn="0" w:noHBand="0" w:noVBand="1"/>
      </w:tblPr>
      <w:tblGrid>
        <w:gridCol w:w="9629"/>
      </w:tblGrid>
      <w:tr w:rsidR="005805FB" w:rsidRPr="00E916C2" w14:paraId="6FE1A298" w14:textId="77777777" w:rsidTr="004204CE">
        <w:tc>
          <w:tcPr>
            <w:tcW w:w="9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3F2502" w14:textId="77777777" w:rsidR="005805FB" w:rsidRPr="000C2340" w:rsidRDefault="005805FB" w:rsidP="004204CE">
            <w:pPr>
              <w:jc w:val="both"/>
              <w:rPr>
                <w:rFonts w:asciiTheme="majorBidi" w:hAnsiTheme="majorBidi" w:cstheme="majorBidi"/>
                <w:highlight w:val="green"/>
              </w:rPr>
            </w:pPr>
            <w:r w:rsidRPr="000C2340">
              <w:rPr>
                <w:rFonts w:asciiTheme="majorBidi" w:hAnsiTheme="majorBidi" w:cstheme="majorBidi"/>
                <w:highlight w:val="green"/>
              </w:rPr>
              <w:t>Agreement:</w:t>
            </w:r>
          </w:p>
          <w:p w14:paraId="467B91CC" w14:textId="77777777" w:rsidR="005805FB" w:rsidRPr="00BD4670" w:rsidRDefault="005805FB" w:rsidP="004204CE">
            <w:pPr>
              <w:spacing w:line="252" w:lineRule="auto"/>
              <w:contextualSpacing/>
              <w:jc w:val="both"/>
              <w:rPr>
                <w:rFonts w:asciiTheme="majorBidi" w:hAnsiTheme="majorBidi" w:cstheme="majorBidi"/>
              </w:rPr>
            </w:pPr>
            <w:r w:rsidRPr="00BD4670">
              <w:rPr>
                <w:rFonts w:asciiTheme="majorBidi" w:hAnsiTheme="majorBidi" w:cstheme="majorBidi"/>
              </w:rPr>
              <w:t>For FR1,</w:t>
            </w:r>
          </w:p>
          <w:p w14:paraId="0D95114F" w14:textId="77777777" w:rsidR="005805FB" w:rsidRPr="00BD4670" w:rsidRDefault="005805FB" w:rsidP="001925A8">
            <w:pPr>
              <w:numPr>
                <w:ilvl w:val="0"/>
                <w:numId w:val="22"/>
              </w:numPr>
              <w:spacing w:after="0" w:line="252" w:lineRule="auto"/>
              <w:contextualSpacing/>
              <w:jc w:val="both"/>
              <w:rPr>
                <w:rFonts w:asciiTheme="majorBidi" w:hAnsiTheme="majorBidi" w:cstheme="majorBidi"/>
              </w:rPr>
            </w:pPr>
            <w:r w:rsidRPr="00BD4670">
              <w:rPr>
                <w:rFonts w:asciiTheme="majorBidi" w:hAnsiTheme="majorBidi" w:cstheme="majorBidi"/>
              </w:rPr>
              <w:t>For TDD, center frequencies are assumed to be the same for the initial DL (</w:t>
            </w:r>
            <w:r w:rsidRPr="00F63816">
              <w:rPr>
                <w:rFonts w:asciiTheme="majorBidi" w:hAnsiTheme="majorBidi" w:cstheme="majorBidi"/>
                <w:highlight w:val="yellow"/>
              </w:rPr>
              <w:t>FFS:</w:t>
            </w:r>
            <w:r w:rsidRPr="00BD4670">
              <w:rPr>
                <w:rFonts w:asciiTheme="majorBidi" w:hAnsiTheme="majorBidi" w:cstheme="majorBidi"/>
              </w:rPr>
              <w:t xml:space="preserve"> if it does not include CD-SSB and the entire CORESET#0) and UL BWPs used during random access for RedCap UEs.</w:t>
            </w:r>
          </w:p>
          <w:p w14:paraId="2AC5C124" w14:textId="77777777" w:rsidR="005805FB" w:rsidRPr="00BD4670" w:rsidRDefault="005805FB" w:rsidP="001925A8">
            <w:pPr>
              <w:numPr>
                <w:ilvl w:val="1"/>
                <w:numId w:val="22"/>
              </w:numPr>
              <w:spacing w:after="0" w:line="252" w:lineRule="auto"/>
              <w:contextualSpacing/>
              <w:jc w:val="both"/>
              <w:rPr>
                <w:rFonts w:asciiTheme="majorBidi" w:hAnsiTheme="majorBidi" w:cstheme="majorBidi"/>
              </w:rPr>
            </w:pPr>
            <w:r w:rsidRPr="00F63816">
              <w:rPr>
                <w:rFonts w:asciiTheme="majorBidi" w:hAnsiTheme="majorBidi" w:cstheme="majorBidi"/>
                <w:highlight w:val="yellow"/>
              </w:rPr>
              <w:t>FFS:</w:t>
            </w:r>
            <w:r w:rsidRPr="00BD4670">
              <w:rPr>
                <w:rFonts w:asciiTheme="majorBidi" w:hAnsiTheme="majorBidi" w:cstheme="majorBidi"/>
              </w:rPr>
              <w:t xml:space="preserve"> For Option 1 and Option 2, whether the case that the center frequencies are different is also supported, and whether RedCap UE can expect CD-SSB and CORESET#0 in this case</w:t>
            </w:r>
          </w:p>
          <w:p w14:paraId="7F8F59D1" w14:textId="77777777" w:rsidR="005805FB" w:rsidRPr="00BD4670" w:rsidRDefault="005805FB" w:rsidP="001925A8">
            <w:pPr>
              <w:numPr>
                <w:ilvl w:val="0"/>
                <w:numId w:val="22"/>
              </w:numPr>
              <w:spacing w:after="0" w:line="252" w:lineRule="auto"/>
              <w:contextualSpacing/>
              <w:jc w:val="both"/>
              <w:rPr>
                <w:rFonts w:asciiTheme="majorBidi" w:hAnsiTheme="majorBidi" w:cstheme="majorBidi"/>
              </w:rPr>
            </w:pPr>
            <w:r w:rsidRPr="00BD4670">
              <w:rPr>
                <w:rFonts w:asciiTheme="majorBidi" w:hAnsiTheme="majorBidi" w:cstheme="majorBidi"/>
              </w:rPr>
              <w:lastRenderedPageBreak/>
              <w:t>For TDD, center frequencies are assumed to be the same for non-initial DL and UL BWPs with the same BWP id for a RedCap UE.</w:t>
            </w:r>
          </w:p>
          <w:p w14:paraId="39759BAA" w14:textId="77777777" w:rsidR="005805FB" w:rsidRPr="006D7C88" w:rsidRDefault="005805FB" w:rsidP="004204CE">
            <w:pPr>
              <w:shd w:val="clear" w:color="auto" w:fill="FFFFFF"/>
              <w:spacing w:after="0" w:line="231" w:lineRule="atLeast"/>
              <w:ind w:left="720"/>
              <w:rPr>
                <w:rFonts w:ascii="Times" w:eastAsia="Times New Roman" w:hAnsi="Times" w:cs="Times"/>
                <w:szCs w:val="20"/>
                <w:lang w:val="en-GB" w:eastAsia="ja-JP"/>
              </w:rPr>
            </w:pPr>
          </w:p>
        </w:tc>
      </w:tr>
    </w:tbl>
    <w:p w14:paraId="2CF7965D" w14:textId="64AA96DC" w:rsidR="005805FB" w:rsidRDefault="005805FB" w:rsidP="0037497D">
      <w:pPr>
        <w:jc w:val="both"/>
        <w:rPr>
          <w:rFonts w:cs="Arial"/>
          <w:szCs w:val="20"/>
        </w:rPr>
      </w:pPr>
    </w:p>
    <w:p w14:paraId="7F6A5A9F" w14:textId="164AC000" w:rsidR="00A04424" w:rsidRDefault="00A04424" w:rsidP="0037497D">
      <w:pPr>
        <w:jc w:val="both"/>
        <w:rPr>
          <w:rFonts w:cs="Arial"/>
          <w:szCs w:val="20"/>
        </w:rPr>
      </w:pPr>
      <w:r>
        <w:rPr>
          <w:rFonts w:cs="Arial"/>
          <w:szCs w:val="20"/>
        </w:rPr>
        <w:t>where Option 1 and Option 2</w:t>
      </w:r>
      <w:r w:rsidR="0063714D">
        <w:rPr>
          <w:rFonts w:cs="Arial"/>
          <w:szCs w:val="20"/>
        </w:rPr>
        <w:t xml:space="preserve"> are as follows:</w:t>
      </w:r>
    </w:p>
    <w:tbl>
      <w:tblPr>
        <w:tblStyle w:val="TableGrid1"/>
        <w:tblW w:w="0" w:type="auto"/>
        <w:tblInd w:w="0" w:type="dxa"/>
        <w:tblLook w:val="04A0" w:firstRow="1" w:lastRow="0" w:firstColumn="1" w:lastColumn="0" w:noHBand="0" w:noVBand="1"/>
      </w:tblPr>
      <w:tblGrid>
        <w:gridCol w:w="9629"/>
      </w:tblGrid>
      <w:tr w:rsidR="006A374F" w:rsidRPr="00E3529F" w14:paraId="544F68AA" w14:textId="77777777" w:rsidTr="004204CE">
        <w:tc>
          <w:tcPr>
            <w:tcW w:w="9630" w:type="dxa"/>
            <w:tcBorders>
              <w:top w:val="single" w:sz="4" w:space="0" w:color="auto"/>
              <w:left w:val="single" w:sz="4" w:space="0" w:color="auto"/>
              <w:bottom w:val="single" w:sz="4" w:space="0" w:color="auto"/>
              <w:right w:val="single" w:sz="4" w:space="0" w:color="auto"/>
            </w:tcBorders>
            <w:hideMark/>
          </w:tcPr>
          <w:p w14:paraId="457FCA59" w14:textId="77777777" w:rsidR="006A374F" w:rsidRPr="00E3529F" w:rsidRDefault="006A374F" w:rsidP="001925A8">
            <w:pPr>
              <w:numPr>
                <w:ilvl w:val="1"/>
                <w:numId w:val="22"/>
              </w:numPr>
              <w:overflowPunct w:val="0"/>
              <w:autoSpaceDE w:val="0"/>
              <w:autoSpaceDN w:val="0"/>
              <w:adjustRightInd w:val="0"/>
              <w:spacing w:after="180" w:line="252" w:lineRule="auto"/>
              <w:contextualSpacing/>
              <w:textAlignment w:val="baseline"/>
              <w:rPr>
                <w:rFonts w:ascii="Times New Roman" w:eastAsia="Batang" w:hAnsi="Times New Roman" w:cs="Times New Roman"/>
                <w:bCs/>
                <w:szCs w:val="20"/>
                <w:lang w:val="en-GB" w:eastAsia="en-GB"/>
              </w:rPr>
            </w:pPr>
            <w:r w:rsidRPr="00E3529F">
              <w:rPr>
                <w:rFonts w:ascii="Times New Roman" w:eastAsia="Batang" w:hAnsi="Times New Roman" w:cs="Times New Roman"/>
                <w:bCs/>
                <w:szCs w:val="20"/>
                <w:lang w:val="en-GB" w:eastAsia="en-GB"/>
              </w:rPr>
              <w:t>Option 1:</w:t>
            </w:r>
          </w:p>
          <w:p w14:paraId="52829CA9" w14:textId="77777777" w:rsidR="006A374F" w:rsidRPr="00E3529F" w:rsidRDefault="006A374F" w:rsidP="001925A8">
            <w:pPr>
              <w:numPr>
                <w:ilvl w:val="2"/>
                <w:numId w:val="22"/>
              </w:numPr>
              <w:overflowPunct w:val="0"/>
              <w:autoSpaceDE w:val="0"/>
              <w:autoSpaceDN w:val="0"/>
              <w:adjustRightInd w:val="0"/>
              <w:spacing w:after="180" w:line="252" w:lineRule="auto"/>
              <w:contextualSpacing/>
              <w:textAlignment w:val="baseline"/>
              <w:rPr>
                <w:rFonts w:ascii="Times New Roman" w:eastAsia="Batang" w:hAnsi="Times New Roman" w:cs="Times New Roman"/>
                <w:bCs/>
                <w:szCs w:val="20"/>
                <w:lang w:val="en-GB" w:eastAsia="en-GB"/>
              </w:rPr>
            </w:pPr>
            <w:r w:rsidRPr="00E3529F">
              <w:rPr>
                <w:rFonts w:ascii="Times New Roman" w:eastAsia="Batang" w:hAnsi="Times New Roman" w:cs="Times New Roman"/>
                <w:bCs/>
                <w:szCs w:val="20"/>
                <w:lang w:val="en-GB" w:eastAsia="en-GB"/>
              </w:rPr>
              <w:t>For a separate initial DL BWP (if it does not include CD-SSB and the entire CORESET#0),</w:t>
            </w:r>
          </w:p>
          <w:p w14:paraId="77C0E18C" w14:textId="77777777" w:rsidR="006A374F" w:rsidRPr="00E3529F" w:rsidRDefault="006A374F" w:rsidP="001925A8">
            <w:pPr>
              <w:numPr>
                <w:ilvl w:val="3"/>
                <w:numId w:val="22"/>
              </w:numPr>
              <w:overflowPunct w:val="0"/>
              <w:autoSpaceDE w:val="0"/>
              <w:autoSpaceDN w:val="0"/>
              <w:adjustRightInd w:val="0"/>
              <w:spacing w:after="180" w:line="252" w:lineRule="auto"/>
              <w:contextualSpacing/>
              <w:textAlignment w:val="baseline"/>
              <w:rPr>
                <w:rFonts w:ascii="Times New Roman" w:eastAsia="Batang" w:hAnsi="Times New Roman" w:cs="Times New Roman"/>
                <w:bCs/>
                <w:szCs w:val="20"/>
                <w:lang w:val="en-GB" w:eastAsia="en-GB"/>
              </w:rPr>
            </w:pPr>
            <w:r w:rsidRPr="00E3529F">
              <w:rPr>
                <w:rFonts w:ascii="Times New Roman" w:eastAsia="Batang" w:hAnsi="Times New Roman" w:cs="Times New Roman"/>
                <w:bCs/>
                <w:szCs w:val="20"/>
                <w:lang w:val="en-GB" w:eastAsia="en-GB"/>
              </w:rPr>
              <w:t>RedCap UE does NOT expect it to contain SSB/CORESET#0/SIB.</w:t>
            </w:r>
          </w:p>
          <w:p w14:paraId="21360027" w14:textId="77777777" w:rsidR="006A374F" w:rsidRPr="00E3529F" w:rsidRDefault="006A374F" w:rsidP="001925A8">
            <w:pPr>
              <w:numPr>
                <w:ilvl w:val="1"/>
                <w:numId w:val="22"/>
              </w:numPr>
              <w:overflowPunct w:val="0"/>
              <w:autoSpaceDE w:val="0"/>
              <w:autoSpaceDN w:val="0"/>
              <w:adjustRightInd w:val="0"/>
              <w:spacing w:after="180" w:line="252" w:lineRule="auto"/>
              <w:contextualSpacing/>
              <w:textAlignment w:val="baseline"/>
              <w:rPr>
                <w:rFonts w:ascii="Times New Roman" w:eastAsia="Batang" w:hAnsi="Times New Roman" w:cs="Times New Roman"/>
                <w:bCs/>
                <w:szCs w:val="20"/>
                <w:lang w:val="en-GB" w:eastAsia="en-GB"/>
              </w:rPr>
            </w:pPr>
            <w:r w:rsidRPr="00E3529F">
              <w:rPr>
                <w:rFonts w:ascii="Times New Roman" w:eastAsia="Batang" w:hAnsi="Times New Roman" w:cs="Times New Roman"/>
                <w:bCs/>
                <w:szCs w:val="20"/>
                <w:lang w:val="en-GB" w:eastAsia="en-GB"/>
              </w:rPr>
              <w:t>Option 2:</w:t>
            </w:r>
          </w:p>
          <w:p w14:paraId="2FB09888" w14:textId="77777777" w:rsidR="006A374F" w:rsidRPr="00E3529F" w:rsidRDefault="006A374F" w:rsidP="001925A8">
            <w:pPr>
              <w:numPr>
                <w:ilvl w:val="2"/>
                <w:numId w:val="22"/>
              </w:numPr>
              <w:overflowPunct w:val="0"/>
              <w:autoSpaceDE w:val="0"/>
              <w:autoSpaceDN w:val="0"/>
              <w:adjustRightInd w:val="0"/>
              <w:spacing w:after="180" w:line="252" w:lineRule="auto"/>
              <w:contextualSpacing/>
              <w:textAlignment w:val="baseline"/>
              <w:rPr>
                <w:rFonts w:ascii="Times New Roman" w:eastAsia="Batang" w:hAnsi="Times New Roman" w:cs="Times New Roman"/>
                <w:bCs/>
                <w:szCs w:val="20"/>
                <w:lang w:val="en-GB" w:eastAsia="en-GB"/>
              </w:rPr>
            </w:pPr>
            <w:r w:rsidRPr="00E3529F">
              <w:rPr>
                <w:rFonts w:ascii="Times New Roman" w:eastAsia="Batang" w:hAnsi="Times New Roman" w:cs="Times New Roman"/>
                <w:bCs/>
                <w:szCs w:val="20"/>
                <w:lang w:val="en-GB" w:eastAsia="en-GB"/>
              </w:rPr>
              <w:t>For a separate initial DL BWP (if it does not include CD-SSB and the entire CORESET#0),</w:t>
            </w:r>
          </w:p>
          <w:p w14:paraId="24D8745F" w14:textId="77777777" w:rsidR="006A374F" w:rsidRPr="00E3529F" w:rsidRDefault="006A374F" w:rsidP="001925A8">
            <w:pPr>
              <w:numPr>
                <w:ilvl w:val="3"/>
                <w:numId w:val="22"/>
              </w:numPr>
              <w:overflowPunct w:val="0"/>
              <w:autoSpaceDE w:val="0"/>
              <w:autoSpaceDN w:val="0"/>
              <w:adjustRightInd w:val="0"/>
              <w:spacing w:after="180" w:line="252" w:lineRule="auto"/>
              <w:contextualSpacing/>
              <w:textAlignment w:val="baseline"/>
              <w:rPr>
                <w:rFonts w:ascii="Times New Roman" w:eastAsia="Batang" w:hAnsi="Times New Roman" w:cs="Times New Roman"/>
                <w:bCs/>
                <w:szCs w:val="20"/>
                <w:lang w:val="en-GB" w:eastAsia="en-GB"/>
              </w:rPr>
            </w:pPr>
            <w:r w:rsidRPr="00E3529F">
              <w:rPr>
                <w:rFonts w:ascii="Times New Roman" w:eastAsia="Batang" w:hAnsi="Times New Roman" w:cs="Times New Roman"/>
                <w:bCs/>
                <w:szCs w:val="20"/>
                <w:lang w:val="en-GB" w:eastAsia="en-GB"/>
              </w:rPr>
              <w:t>If it is configured for random access while not for paging in idle/inactive mode, RedCap UE does NOT expect it to contain SSB/CORESET#0/SIB.</w:t>
            </w:r>
          </w:p>
          <w:p w14:paraId="1EF5279F" w14:textId="77777777" w:rsidR="006A374F" w:rsidRPr="00E3529F" w:rsidRDefault="006A374F" w:rsidP="001925A8">
            <w:pPr>
              <w:numPr>
                <w:ilvl w:val="4"/>
                <w:numId w:val="22"/>
              </w:numPr>
              <w:overflowPunct w:val="0"/>
              <w:autoSpaceDE w:val="0"/>
              <w:autoSpaceDN w:val="0"/>
              <w:adjustRightInd w:val="0"/>
              <w:spacing w:after="180" w:line="252" w:lineRule="auto"/>
              <w:contextualSpacing/>
              <w:textAlignment w:val="baseline"/>
              <w:rPr>
                <w:rFonts w:ascii="Times New Roman" w:eastAsia="Batang" w:hAnsi="Times New Roman" w:cs="Times New Roman"/>
                <w:bCs/>
                <w:szCs w:val="20"/>
                <w:lang w:val="en-GB" w:eastAsia="en-GB"/>
              </w:rPr>
            </w:pPr>
            <w:r w:rsidRPr="00E3529F">
              <w:rPr>
                <w:rFonts w:ascii="Times New Roman" w:eastAsia="Batang" w:hAnsi="Times New Roman" w:cs="Times New Roman"/>
                <w:bCs/>
                <w:szCs w:val="20"/>
                <w:lang w:val="en-GB" w:eastAsia="en-GB"/>
              </w:rPr>
              <w:t>FFS: For BWP#0 configuration option 1, whether the UE can expect SSB transmission in the separate initial DL BWP when it is used in connected mode.</w:t>
            </w:r>
          </w:p>
          <w:p w14:paraId="363CC49C" w14:textId="2FC1B92B" w:rsidR="006A374F" w:rsidRPr="00AC05B2" w:rsidRDefault="006A374F" w:rsidP="001925A8">
            <w:pPr>
              <w:numPr>
                <w:ilvl w:val="3"/>
                <w:numId w:val="22"/>
              </w:numPr>
              <w:overflowPunct w:val="0"/>
              <w:autoSpaceDE w:val="0"/>
              <w:autoSpaceDN w:val="0"/>
              <w:adjustRightInd w:val="0"/>
              <w:spacing w:after="180" w:line="252" w:lineRule="auto"/>
              <w:contextualSpacing/>
              <w:textAlignment w:val="baseline"/>
              <w:rPr>
                <w:rFonts w:ascii="Times New Roman" w:eastAsia="Batang" w:hAnsi="Times New Roman" w:cs="Times New Roman"/>
                <w:bCs/>
                <w:szCs w:val="20"/>
                <w:lang w:val="en-GB" w:eastAsia="en-GB"/>
              </w:rPr>
            </w:pPr>
            <w:r w:rsidRPr="00E3529F">
              <w:rPr>
                <w:rFonts w:ascii="Times New Roman" w:eastAsia="Batang" w:hAnsi="Times New Roman" w:cs="Times New Roman"/>
                <w:bCs/>
                <w:szCs w:val="20"/>
                <w:lang w:val="en-GB" w:eastAsia="en-GB"/>
              </w:rPr>
              <w:t>If it is configured for paging, RedCap UE expects it to contain NCD-SSB for serving cell but not CORESET#0/SIB.</w:t>
            </w:r>
          </w:p>
        </w:tc>
      </w:tr>
    </w:tbl>
    <w:p w14:paraId="3E624D30" w14:textId="77777777" w:rsidR="006A374F" w:rsidRDefault="006A374F" w:rsidP="0037497D">
      <w:pPr>
        <w:jc w:val="both"/>
        <w:rPr>
          <w:rFonts w:cs="Arial"/>
          <w:szCs w:val="20"/>
        </w:rPr>
      </w:pPr>
    </w:p>
    <w:p w14:paraId="6036535A" w14:textId="351E6BB1" w:rsidR="00FD73AD" w:rsidRDefault="00922A54" w:rsidP="002336F8">
      <w:pPr>
        <w:jc w:val="both"/>
        <w:rPr>
          <w:rFonts w:cs="Arial"/>
          <w:szCs w:val="20"/>
        </w:rPr>
      </w:pPr>
      <w:r>
        <w:rPr>
          <w:rFonts w:cs="Arial"/>
          <w:szCs w:val="20"/>
        </w:rPr>
        <w:t>For</w:t>
      </w:r>
      <w:r w:rsidR="00D02E52">
        <w:rPr>
          <w:rFonts w:cs="Arial"/>
          <w:szCs w:val="20"/>
        </w:rPr>
        <w:t xml:space="preserve"> </w:t>
      </w:r>
      <w:r w:rsidR="007748AF">
        <w:rPr>
          <w:rFonts w:cs="Arial"/>
          <w:szCs w:val="20"/>
        </w:rPr>
        <w:t xml:space="preserve">RedCap </w:t>
      </w:r>
      <w:r>
        <w:rPr>
          <w:rFonts w:cs="Arial"/>
          <w:szCs w:val="20"/>
        </w:rPr>
        <w:t>initial UL and DL BWPs, o</w:t>
      </w:r>
      <w:r w:rsidR="00FD73AD">
        <w:rPr>
          <w:rFonts w:cs="Arial"/>
          <w:szCs w:val="20"/>
        </w:rPr>
        <w:t xml:space="preserve">ne of the FFSs </w:t>
      </w:r>
      <w:r w:rsidR="00311678">
        <w:rPr>
          <w:rFonts w:cs="Arial"/>
          <w:szCs w:val="20"/>
        </w:rPr>
        <w:t xml:space="preserve">related to TDD UL/DL center frequency alignment is </w:t>
      </w:r>
      <w:r w:rsidR="006F6DD0">
        <w:rPr>
          <w:rFonts w:cs="Arial"/>
          <w:szCs w:val="20"/>
        </w:rPr>
        <w:t xml:space="preserve">whether center frequencies are </w:t>
      </w:r>
      <w:r w:rsidR="003F6CF6">
        <w:rPr>
          <w:rFonts w:cs="Arial"/>
          <w:szCs w:val="20"/>
        </w:rPr>
        <w:t xml:space="preserve">assumed to be the same when the initial </w:t>
      </w:r>
      <w:r w:rsidR="005F4389">
        <w:rPr>
          <w:rFonts w:cs="Arial"/>
          <w:szCs w:val="20"/>
        </w:rPr>
        <w:t xml:space="preserve">DL BWP </w:t>
      </w:r>
      <w:r w:rsidR="00B7339A">
        <w:rPr>
          <w:rFonts w:cs="Arial"/>
          <w:szCs w:val="20"/>
        </w:rPr>
        <w:t xml:space="preserve">does not include CD-SSB and CORESET #0. </w:t>
      </w:r>
    </w:p>
    <w:p w14:paraId="661029E4" w14:textId="717DCD12" w:rsidR="00CE697A" w:rsidRDefault="000922CF" w:rsidP="00CE697A">
      <w:pPr>
        <w:jc w:val="both"/>
        <w:rPr>
          <w:lang w:eastAsia="en-GB"/>
        </w:rPr>
      </w:pPr>
      <w:r>
        <w:t xml:space="preserve">The support of different center frequencies for initial UL/DL BWPs in TDD resolves the potential concerns regarding the PUSCH resource fragmentation and the presence of SSB and CORESET #0 within the initial DL BWP. Specifically, the initial UL BWP can be placed at the edge while the initial DL BWP can be placed where it can contain both SSB, CORESET #0, and CSSs for SI, random access, and paging. </w:t>
      </w:r>
      <w:r w:rsidR="002C4ECA">
        <w:t xml:space="preserve"> </w:t>
      </w:r>
      <w:r w:rsidR="002C4ECA">
        <w:rPr>
          <w:rFonts w:cs="Arial"/>
          <w:szCs w:val="20"/>
        </w:rPr>
        <w:t>Although RF retuning between initial UL and DL BWPs might be needed, it</w:t>
      </w:r>
      <w:r w:rsidR="00CE697A">
        <w:rPr>
          <w:lang w:eastAsia="en-GB"/>
        </w:rPr>
        <w:t xml:space="preserve"> is not expected to be an issue as far as the UE implementation is concerned, considering the relaxed required switching time between DL and UL during initial access. Also, such frequency retuning between DL and UL center frequencies is anyway needed for half-duplex FDD UEs which is acceptable from UE complexity perspective.</w:t>
      </w:r>
    </w:p>
    <w:p w14:paraId="629A1052" w14:textId="77777777" w:rsidR="000922CF" w:rsidRDefault="000922CF" w:rsidP="000922CF">
      <w:pPr>
        <w:pStyle w:val="ArialText"/>
      </w:pPr>
    </w:p>
    <w:p w14:paraId="4B710982" w14:textId="77777777" w:rsidR="000922CF" w:rsidRDefault="000922CF" w:rsidP="000922CF">
      <w:pPr>
        <w:pStyle w:val="ArialText"/>
        <w:keepNext/>
      </w:pPr>
      <w:r>
        <w:rPr>
          <w:noProof/>
        </w:rPr>
        <w:drawing>
          <wp:inline distT="0" distB="0" distL="0" distR="0" wp14:anchorId="34EA0DBD" wp14:editId="121DD013">
            <wp:extent cx="5712532" cy="1788807"/>
            <wp:effectExtent l="0" t="0" r="2540" b="190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5741995" cy="1798033"/>
                    </a:xfrm>
                    <a:prstGeom prst="rect">
                      <a:avLst/>
                    </a:prstGeom>
                    <a:noFill/>
                  </pic:spPr>
                </pic:pic>
              </a:graphicData>
            </a:graphic>
          </wp:inline>
        </w:drawing>
      </w:r>
    </w:p>
    <w:p w14:paraId="4A869366" w14:textId="2FD4BEF3" w:rsidR="000922CF" w:rsidRDefault="000922CF" w:rsidP="000922CF">
      <w:pPr>
        <w:pStyle w:val="Caption"/>
        <w:jc w:val="center"/>
      </w:pPr>
      <w:r>
        <w:t xml:space="preserve">Figure </w:t>
      </w:r>
      <w:r>
        <w:fldChar w:fldCharType="begin"/>
      </w:r>
      <w:r>
        <w:instrText xml:space="preserve"> SEQ Figure \* ARABIC </w:instrText>
      </w:r>
      <w:r>
        <w:fldChar w:fldCharType="separate"/>
      </w:r>
      <w:r w:rsidR="007A78E0">
        <w:rPr>
          <w:noProof/>
        </w:rPr>
        <w:t>4</w:t>
      </w:r>
      <w:r>
        <w:fldChar w:fldCharType="end"/>
      </w:r>
      <w:r>
        <w:t>: TDD initial UL/DL BWPs with different center frequencies for RedCap (initial DL BWP contains SSB and CORESET #0).</w:t>
      </w:r>
    </w:p>
    <w:p w14:paraId="27D17B5C" w14:textId="77777777" w:rsidR="000922CF" w:rsidRDefault="000922CF" w:rsidP="000922CF">
      <w:pPr>
        <w:pStyle w:val="ArialText"/>
      </w:pPr>
    </w:p>
    <w:p w14:paraId="2A7640F4" w14:textId="300D3D68" w:rsidR="000922CF" w:rsidRDefault="000922CF" w:rsidP="000922CF">
      <w:pPr>
        <w:pStyle w:val="Observation"/>
      </w:pPr>
      <w:bookmarkStart w:id="57" w:name="_Toc87060610"/>
      <w:r>
        <w:t>With t</w:t>
      </w:r>
      <w:r w:rsidRPr="00763266">
        <w:t>he support of separate center frequencies for initial UL/DL BWPs in TDD</w:t>
      </w:r>
      <w:r>
        <w:t xml:space="preserve"> during initial access,</w:t>
      </w:r>
      <w:r w:rsidRPr="00763266">
        <w:t xml:space="preserve"> all concerns regarding the PUSCH resource fragmentation and the presence of </w:t>
      </w:r>
      <w:r w:rsidR="00176290">
        <w:t>CD-</w:t>
      </w:r>
      <w:r w:rsidRPr="00763266">
        <w:t>SSB and CORESET #0 within the initial DL BWP</w:t>
      </w:r>
      <w:r>
        <w:t xml:space="preserve"> are resolved</w:t>
      </w:r>
      <w:r w:rsidRPr="00763266">
        <w:t>.</w:t>
      </w:r>
      <w:bookmarkEnd w:id="57"/>
    </w:p>
    <w:p w14:paraId="06F98DD6" w14:textId="04AC63BE" w:rsidR="009F2608" w:rsidRDefault="009F2608" w:rsidP="009F2608">
      <w:pPr>
        <w:pStyle w:val="Observation"/>
      </w:pPr>
      <w:bookmarkStart w:id="58" w:name="_Toc87060611"/>
      <w:r>
        <w:lastRenderedPageBreak/>
        <w:t>During initial access, frequency retuning between initial DL and UL BWPs center frequencies is not expected to be an issue as far as the UE implementation is concerned, given the relaxed required switching time between DL and UL during initial access.</w:t>
      </w:r>
      <w:bookmarkEnd w:id="58"/>
    </w:p>
    <w:p w14:paraId="283E330B" w14:textId="00EA8F41" w:rsidR="00D84B54" w:rsidRDefault="00D84B54" w:rsidP="00D84B54">
      <w:pPr>
        <w:pStyle w:val="Proposal"/>
      </w:pPr>
      <w:bookmarkStart w:id="59" w:name="_Toc87060635"/>
      <w:r>
        <w:t xml:space="preserve">For TDD, RAN 1 </w:t>
      </w:r>
      <w:r w:rsidR="00FA52F3">
        <w:t>should</w:t>
      </w:r>
      <w:r>
        <w:t xml:space="preserve"> down-select between the following </w:t>
      </w:r>
      <w:r w:rsidR="002C3A42">
        <w:t>cases</w:t>
      </w:r>
      <w:r w:rsidR="00FA52F3">
        <w:t xml:space="preserve"> for RedCap</w:t>
      </w:r>
      <w:r>
        <w:t>:</w:t>
      </w:r>
      <w:bookmarkStart w:id="60" w:name="_Toc83986540"/>
      <w:bookmarkEnd w:id="59"/>
      <w:r>
        <w:t xml:space="preserve"> </w:t>
      </w:r>
    </w:p>
    <w:p w14:paraId="193B7F06" w14:textId="0A1BBFDE" w:rsidR="00D84B54" w:rsidRPr="0021062D" w:rsidRDefault="002C3A42" w:rsidP="001925A8">
      <w:pPr>
        <w:pStyle w:val="Proposal"/>
        <w:numPr>
          <w:ilvl w:val="2"/>
          <w:numId w:val="31"/>
        </w:numPr>
      </w:pPr>
      <w:bookmarkStart w:id="61" w:name="_Toc87060636"/>
      <w:r>
        <w:t>Case</w:t>
      </w:r>
      <w:r w:rsidR="00D84B54" w:rsidRPr="00667C06">
        <w:t xml:space="preserve"> </w:t>
      </w:r>
      <w:r w:rsidR="00D84B54">
        <w:t>1</w:t>
      </w:r>
      <w:r w:rsidR="00D84B54" w:rsidRPr="00667C06">
        <w:t xml:space="preserve">: </w:t>
      </w:r>
      <w:r w:rsidR="00D84B54">
        <w:t>The</w:t>
      </w:r>
      <w:r w:rsidR="00D84B54" w:rsidRPr="00667C06">
        <w:t xml:space="preserve"> center frequencies for </w:t>
      </w:r>
      <w:r w:rsidR="00D84B54">
        <w:t xml:space="preserve">initial </w:t>
      </w:r>
      <w:r w:rsidR="00D84B54" w:rsidRPr="00667C06">
        <w:t xml:space="preserve">UL/DL BWPs </w:t>
      </w:r>
      <w:r w:rsidR="00D84B54">
        <w:t>can be different,</w:t>
      </w:r>
      <w:r w:rsidR="00D84B54" w:rsidRPr="00667C06">
        <w:t xml:space="preserve"> </w:t>
      </w:r>
      <w:r w:rsidR="00D84B54">
        <w:t>but</w:t>
      </w:r>
      <w:r w:rsidR="00D84B54" w:rsidRPr="00667C06">
        <w:t xml:space="preserve"> the </w:t>
      </w:r>
      <w:r w:rsidR="00D84B54">
        <w:t xml:space="preserve">initial </w:t>
      </w:r>
      <w:r w:rsidR="00D84B54" w:rsidRPr="00667C06">
        <w:t xml:space="preserve">DL BWP </w:t>
      </w:r>
      <w:r w:rsidR="00D84B54">
        <w:t xml:space="preserve">always </w:t>
      </w:r>
      <w:r w:rsidR="00D84B54" w:rsidRPr="00667C06">
        <w:t>contains the CORESET #0</w:t>
      </w:r>
      <w:r w:rsidR="00D84B54">
        <w:t xml:space="preserve"> and SSB.</w:t>
      </w:r>
      <w:bookmarkEnd w:id="60"/>
      <w:bookmarkEnd w:id="61"/>
    </w:p>
    <w:p w14:paraId="1A84DB74" w14:textId="351B6AB3" w:rsidR="00D84B54" w:rsidRPr="00667C06" w:rsidRDefault="002C3A42" w:rsidP="001925A8">
      <w:pPr>
        <w:pStyle w:val="Proposal"/>
        <w:numPr>
          <w:ilvl w:val="2"/>
          <w:numId w:val="31"/>
        </w:numPr>
      </w:pPr>
      <w:bookmarkStart w:id="62" w:name="_Toc83986541"/>
      <w:bookmarkStart w:id="63" w:name="_Toc87060637"/>
      <w:r>
        <w:t>Case</w:t>
      </w:r>
      <w:r w:rsidR="00D84B54" w:rsidRPr="00667C06">
        <w:t xml:space="preserve"> </w:t>
      </w:r>
      <w:r w:rsidR="00D84B54">
        <w:t>2</w:t>
      </w:r>
      <w:r w:rsidR="00D84B54" w:rsidRPr="00667C06">
        <w:t xml:space="preserve">: </w:t>
      </w:r>
      <w:r w:rsidR="00D84B54">
        <w:t>The</w:t>
      </w:r>
      <w:r w:rsidR="00D84B54" w:rsidRPr="00667C06">
        <w:t xml:space="preserve"> center frequenc</w:t>
      </w:r>
      <w:r w:rsidR="00D84B54">
        <w:t>ies</w:t>
      </w:r>
      <w:r w:rsidR="00D84B54" w:rsidRPr="00667C06">
        <w:t xml:space="preserve"> for </w:t>
      </w:r>
      <w:r w:rsidR="00D84B54">
        <w:t xml:space="preserve">initial </w:t>
      </w:r>
      <w:r w:rsidR="00D84B54" w:rsidRPr="00667C06">
        <w:t xml:space="preserve">UL/DL BWPs </w:t>
      </w:r>
      <w:r w:rsidR="00D84B54">
        <w:t>are always the same,</w:t>
      </w:r>
      <w:r w:rsidR="00D84B54" w:rsidRPr="00667C06">
        <w:t xml:space="preserve"> </w:t>
      </w:r>
      <w:r w:rsidR="00D84B54">
        <w:t>but</w:t>
      </w:r>
      <w:r w:rsidR="00D84B54" w:rsidRPr="00667C06">
        <w:t xml:space="preserve"> the </w:t>
      </w:r>
      <w:r w:rsidR="00D84B54">
        <w:t xml:space="preserve">initial </w:t>
      </w:r>
      <w:r w:rsidR="00D84B54" w:rsidRPr="00667C06">
        <w:t>DL BWP does not necessarily contain CORESET #0.</w:t>
      </w:r>
      <w:bookmarkEnd w:id="62"/>
      <w:bookmarkEnd w:id="63"/>
    </w:p>
    <w:p w14:paraId="6E406929" w14:textId="0C5FDE55" w:rsidR="005805FB" w:rsidRDefault="005805FB" w:rsidP="0037497D">
      <w:pPr>
        <w:jc w:val="both"/>
        <w:rPr>
          <w:rFonts w:cs="Arial"/>
          <w:szCs w:val="20"/>
        </w:rPr>
      </w:pPr>
    </w:p>
    <w:p w14:paraId="7B67DE9A" w14:textId="3102A64F" w:rsidR="009F29A4" w:rsidRPr="002E0970" w:rsidRDefault="00614854" w:rsidP="002E0970">
      <w:pPr>
        <w:jc w:val="both"/>
        <w:rPr>
          <w:rFonts w:cs="Arial"/>
        </w:rPr>
      </w:pPr>
      <w:r w:rsidRPr="0063714D">
        <w:rPr>
          <w:rFonts w:cs="Arial"/>
          <w:szCs w:val="20"/>
        </w:rPr>
        <w:t>Another FFS is</w:t>
      </w:r>
      <w:r>
        <w:rPr>
          <w:rFonts w:cs="Arial"/>
          <w:szCs w:val="20"/>
        </w:rPr>
        <w:t xml:space="preserve">, </w:t>
      </w:r>
      <w:r w:rsidRPr="0063714D">
        <w:rPr>
          <w:rFonts w:cs="Arial"/>
        </w:rPr>
        <w:t>for Option 1 and Option 2</w:t>
      </w:r>
      <w:r>
        <w:rPr>
          <w:rFonts w:cs="Arial"/>
        </w:rPr>
        <w:t xml:space="preserve"> (mentioned above)</w:t>
      </w:r>
      <w:r w:rsidRPr="0063714D">
        <w:rPr>
          <w:rFonts w:cs="Arial"/>
        </w:rPr>
        <w:t>, whether the case that the center frequencies are different is also supported, and whether RedCap UE can expect CD-SSB and CORESET#0</w:t>
      </w:r>
      <w:r w:rsidR="002E0970">
        <w:rPr>
          <w:rFonts w:cs="Arial"/>
        </w:rPr>
        <w:t xml:space="preserve">. </w:t>
      </w:r>
      <w:r w:rsidR="005E05AE" w:rsidRPr="002E0970">
        <w:rPr>
          <w:rFonts w:asciiTheme="minorBidi" w:hAnsiTheme="minorBidi"/>
          <w:szCs w:val="20"/>
        </w:rPr>
        <w:t xml:space="preserve">For Option 1, </w:t>
      </w:r>
      <w:r w:rsidR="00886E20" w:rsidRPr="002E0970">
        <w:rPr>
          <w:rFonts w:asciiTheme="minorBidi" w:hAnsiTheme="minorBidi"/>
          <w:szCs w:val="20"/>
        </w:rPr>
        <w:t xml:space="preserve">the RedCap UE does not expect the separate initial DL BWP to contain SSB/CORESET#0/SIB. </w:t>
      </w:r>
      <w:r w:rsidR="00993B93" w:rsidRPr="002E0970">
        <w:rPr>
          <w:rFonts w:asciiTheme="minorBidi" w:hAnsiTheme="minorBidi"/>
          <w:szCs w:val="20"/>
        </w:rPr>
        <w:t xml:space="preserve">This case is the result of </w:t>
      </w:r>
      <w:r w:rsidR="001C6D34" w:rsidRPr="002E0970">
        <w:rPr>
          <w:rFonts w:asciiTheme="minorBidi" w:hAnsiTheme="minorBidi"/>
          <w:szCs w:val="20"/>
        </w:rPr>
        <w:t>ensuring TDD UL/DL center frequency alignment</w:t>
      </w:r>
      <w:r w:rsidR="00BB5836" w:rsidRPr="002E0970">
        <w:rPr>
          <w:rFonts w:asciiTheme="minorBidi" w:hAnsiTheme="minorBidi"/>
          <w:szCs w:val="20"/>
        </w:rPr>
        <w:t xml:space="preserve"> as otherwise </w:t>
      </w:r>
      <w:r w:rsidR="002A33B5" w:rsidRPr="002E0970">
        <w:rPr>
          <w:rFonts w:asciiTheme="minorBidi" w:hAnsiTheme="minorBidi"/>
          <w:szCs w:val="20"/>
        </w:rPr>
        <w:t xml:space="preserve">the initial DL BWP for RedCap can </w:t>
      </w:r>
      <w:r w:rsidR="004367CC" w:rsidRPr="002E0970">
        <w:rPr>
          <w:rFonts w:asciiTheme="minorBidi" w:hAnsiTheme="minorBidi"/>
          <w:szCs w:val="20"/>
        </w:rPr>
        <w:t xml:space="preserve">always </w:t>
      </w:r>
      <w:r w:rsidR="002A33B5" w:rsidRPr="002E0970">
        <w:rPr>
          <w:rFonts w:asciiTheme="minorBidi" w:hAnsiTheme="minorBidi"/>
          <w:szCs w:val="20"/>
        </w:rPr>
        <w:t xml:space="preserve">contain </w:t>
      </w:r>
      <w:r w:rsidR="00235EB2" w:rsidRPr="002E0970">
        <w:rPr>
          <w:rFonts w:asciiTheme="minorBidi" w:hAnsiTheme="minorBidi"/>
          <w:szCs w:val="20"/>
        </w:rPr>
        <w:t xml:space="preserve">both </w:t>
      </w:r>
      <w:r w:rsidR="002A33B5" w:rsidRPr="002E0970">
        <w:rPr>
          <w:rFonts w:asciiTheme="minorBidi" w:hAnsiTheme="minorBidi"/>
          <w:szCs w:val="20"/>
        </w:rPr>
        <w:t>CD-SSB and CORESET #0</w:t>
      </w:r>
      <w:r w:rsidR="00235EB2" w:rsidRPr="002E0970">
        <w:rPr>
          <w:rFonts w:asciiTheme="minorBidi" w:hAnsiTheme="minorBidi"/>
          <w:szCs w:val="20"/>
        </w:rPr>
        <w:t xml:space="preserve"> (at least in FR1).</w:t>
      </w:r>
      <w:r w:rsidR="004367CC" w:rsidRPr="002E0970">
        <w:rPr>
          <w:rFonts w:asciiTheme="minorBidi" w:hAnsiTheme="minorBidi"/>
          <w:szCs w:val="20"/>
        </w:rPr>
        <w:t xml:space="preserve"> </w:t>
      </w:r>
      <w:r w:rsidR="00932A14" w:rsidRPr="002E0970">
        <w:rPr>
          <w:rFonts w:asciiTheme="minorBidi" w:hAnsiTheme="minorBidi"/>
          <w:szCs w:val="20"/>
        </w:rPr>
        <w:t>F</w:t>
      </w:r>
      <w:r w:rsidR="00DE2E11" w:rsidRPr="002E0970">
        <w:rPr>
          <w:rFonts w:asciiTheme="minorBidi" w:hAnsiTheme="minorBidi"/>
          <w:szCs w:val="20"/>
        </w:rPr>
        <w:t>or Option 2</w:t>
      </w:r>
      <w:r w:rsidR="00932A14" w:rsidRPr="002E0970">
        <w:rPr>
          <w:rFonts w:asciiTheme="minorBidi" w:hAnsiTheme="minorBidi"/>
          <w:szCs w:val="20"/>
        </w:rPr>
        <w:t>,</w:t>
      </w:r>
      <w:r w:rsidR="00DE2E11" w:rsidRPr="002E0970">
        <w:rPr>
          <w:rFonts w:asciiTheme="minorBidi" w:hAnsiTheme="minorBidi"/>
          <w:szCs w:val="20"/>
        </w:rPr>
        <w:t xml:space="preserve"> the UE does not expect the separate initial DL BWP to contain SSB/CORESET#0/SIB</w:t>
      </w:r>
      <w:r w:rsidR="00DB6CE2" w:rsidRPr="002E0970">
        <w:rPr>
          <w:rFonts w:asciiTheme="minorBidi" w:hAnsiTheme="minorBidi"/>
          <w:szCs w:val="20"/>
        </w:rPr>
        <w:t xml:space="preserve"> </w:t>
      </w:r>
      <w:r w:rsidR="00932A14" w:rsidRPr="002E0970">
        <w:rPr>
          <w:rFonts w:asciiTheme="minorBidi" w:hAnsiTheme="minorBidi"/>
          <w:szCs w:val="20"/>
        </w:rPr>
        <w:t xml:space="preserve">if it is not used for </w:t>
      </w:r>
      <w:r w:rsidR="00932A14" w:rsidRPr="002E0970">
        <w:rPr>
          <w:rFonts w:asciiTheme="minorBidi" w:eastAsia="Batang" w:hAnsiTheme="minorBidi"/>
          <w:bCs/>
          <w:szCs w:val="20"/>
          <w:lang w:val="en-GB" w:eastAsia="en-GB"/>
        </w:rPr>
        <w:t xml:space="preserve">paging in idle/inactive </w:t>
      </w:r>
      <w:proofErr w:type="gramStart"/>
      <w:r w:rsidR="00932A14" w:rsidRPr="002E0970">
        <w:rPr>
          <w:rFonts w:asciiTheme="minorBidi" w:eastAsia="Batang" w:hAnsiTheme="minorBidi"/>
          <w:bCs/>
          <w:szCs w:val="20"/>
          <w:lang w:val="en-GB" w:eastAsia="en-GB"/>
        </w:rPr>
        <w:t>mode</w:t>
      </w:r>
      <w:r w:rsidR="00DE2E11" w:rsidRPr="002E0970">
        <w:rPr>
          <w:rFonts w:asciiTheme="minorBidi" w:hAnsiTheme="minorBidi"/>
          <w:szCs w:val="20"/>
        </w:rPr>
        <w:t>,</w:t>
      </w:r>
      <w:r w:rsidR="00544F46" w:rsidRPr="002E0970">
        <w:rPr>
          <w:rFonts w:asciiTheme="minorBidi" w:hAnsiTheme="minorBidi"/>
          <w:szCs w:val="20"/>
        </w:rPr>
        <w:t xml:space="preserve"> and</w:t>
      </w:r>
      <w:proofErr w:type="gramEnd"/>
      <w:r w:rsidR="00544F46" w:rsidRPr="002E0970">
        <w:rPr>
          <w:rFonts w:asciiTheme="minorBidi" w:hAnsiTheme="minorBidi"/>
          <w:szCs w:val="20"/>
        </w:rPr>
        <w:t xml:space="preserve"> does not expect CORESET#0/SIB if it is configured for paging. </w:t>
      </w:r>
      <w:proofErr w:type="gramStart"/>
      <w:r w:rsidR="00916986" w:rsidRPr="002E0970">
        <w:rPr>
          <w:rFonts w:asciiTheme="minorBidi" w:hAnsiTheme="minorBidi"/>
          <w:szCs w:val="20"/>
        </w:rPr>
        <w:t xml:space="preserve">Again, </w:t>
      </w:r>
      <w:r w:rsidR="00DE2E11" w:rsidRPr="002E0970">
        <w:rPr>
          <w:rFonts w:asciiTheme="minorBidi" w:hAnsiTheme="minorBidi"/>
          <w:szCs w:val="20"/>
        </w:rPr>
        <w:t xml:space="preserve"> the</w:t>
      </w:r>
      <w:proofErr w:type="gramEnd"/>
      <w:r w:rsidR="00DE2E11" w:rsidRPr="002E0970">
        <w:rPr>
          <w:rFonts w:asciiTheme="minorBidi" w:hAnsiTheme="minorBidi"/>
          <w:szCs w:val="20"/>
        </w:rPr>
        <w:t xml:space="preserve"> </w:t>
      </w:r>
      <w:r w:rsidR="00916986" w:rsidRPr="002E0970">
        <w:rPr>
          <w:rFonts w:asciiTheme="minorBidi" w:hAnsiTheme="minorBidi"/>
          <w:szCs w:val="20"/>
        </w:rPr>
        <w:t xml:space="preserve">underlying assumption is that </w:t>
      </w:r>
      <w:r w:rsidR="00DE2E11" w:rsidRPr="002E0970">
        <w:rPr>
          <w:rFonts w:asciiTheme="minorBidi" w:hAnsiTheme="minorBidi"/>
          <w:szCs w:val="20"/>
        </w:rPr>
        <w:t xml:space="preserve"> </w:t>
      </w:r>
      <w:r w:rsidR="002E0970" w:rsidRPr="002E0970">
        <w:rPr>
          <w:rFonts w:asciiTheme="minorBidi" w:hAnsiTheme="minorBidi"/>
          <w:szCs w:val="20"/>
        </w:rPr>
        <w:t>the TDD UL/DL center frequency alignment</w:t>
      </w:r>
      <w:r w:rsidR="00235EB2" w:rsidRPr="002E0970">
        <w:rPr>
          <w:rFonts w:asciiTheme="minorBidi" w:hAnsiTheme="minorBidi"/>
          <w:szCs w:val="20"/>
        </w:rPr>
        <w:t xml:space="preserve"> </w:t>
      </w:r>
      <w:r w:rsidR="001C6D34" w:rsidRPr="002E0970">
        <w:rPr>
          <w:rFonts w:asciiTheme="minorBidi" w:hAnsiTheme="minorBidi"/>
          <w:szCs w:val="20"/>
        </w:rPr>
        <w:t xml:space="preserve"> </w:t>
      </w:r>
      <w:r w:rsidR="002E0970" w:rsidRPr="002E0970">
        <w:rPr>
          <w:rFonts w:asciiTheme="minorBidi" w:hAnsiTheme="minorBidi"/>
          <w:szCs w:val="20"/>
        </w:rPr>
        <w:t xml:space="preserve">is ensured. </w:t>
      </w:r>
      <w:r w:rsidR="00CC1E05" w:rsidRPr="002E0970">
        <w:rPr>
          <w:rFonts w:asciiTheme="minorBidi" w:hAnsiTheme="minorBidi"/>
          <w:szCs w:val="20"/>
        </w:rPr>
        <w:t>Therefore</w:t>
      </w:r>
      <w:r w:rsidR="002E0970">
        <w:rPr>
          <w:rFonts w:asciiTheme="minorBidi" w:hAnsiTheme="minorBidi"/>
          <w:szCs w:val="20"/>
        </w:rPr>
        <w:t>,</w:t>
      </w:r>
      <w:r w:rsidR="002E0970" w:rsidRPr="002E0970">
        <w:rPr>
          <w:rFonts w:asciiTheme="minorBidi" w:hAnsiTheme="minorBidi"/>
          <w:szCs w:val="20"/>
        </w:rPr>
        <w:t xml:space="preserve"> both</w:t>
      </w:r>
      <w:r w:rsidR="00CC1E05" w:rsidRPr="002E0970">
        <w:rPr>
          <w:rFonts w:asciiTheme="minorBidi" w:hAnsiTheme="minorBidi"/>
          <w:szCs w:val="20"/>
        </w:rPr>
        <w:t xml:space="preserve"> Option 1</w:t>
      </w:r>
      <w:r w:rsidR="002E0970" w:rsidRPr="002E0970">
        <w:rPr>
          <w:rFonts w:asciiTheme="minorBidi" w:hAnsiTheme="minorBidi"/>
          <w:szCs w:val="20"/>
        </w:rPr>
        <w:t xml:space="preserve"> and Option 2</w:t>
      </w:r>
      <w:r w:rsidR="00CC1E05" w:rsidRPr="002E0970">
        <w:rPr>
          <w:rFonts w:asciiTheme="minorBidi" w:hAnsiTheme="minorBidi"/>
          <w:szCs w:val="20"/>
        </w:rPr>
        <w:t xml:space="preserve"> </w:t>
      </w:r>
      <w:r w:rsidR="00C2112B" w:rsidRPr="002E0970">
        <w:rPr>
          <w:rFonts w:asciiTheme="minorBidi" w:hAnsiTheme="minorBidi"/>
          <w:szCs w:val="20"/>
        </w:rPr>
        <w:t>correspond to scenario</w:t>
      </w:r>
      <w:r w:rsidR="002E0970" w:rsidRPr="002E0970">
        <w:rPr>
          <w:rFonts w:asciiTheme="minorBidi" w:hAnsiTheme="minorBidi"/>
          <w:szCs w:val="20"/>
        </w:rPr>
        <w:t>s</w:t>
      </w:r>
      <w:r w:rsidR="00C2112B" w:rsidRPr="002E0970">
        <w:rPr>
          <w:rFonts w:asciiTheme="minorBidi" w:hAnsiTheme="minorBidi"/>
          <w:szCs w:val="20"/>
        </w:rPr>
        <w:t xml:space="preserve"> where</w:t>
      </w:r>
      <w:r w:rsidR="00F52EDD" w:rsidRPr="002E0970">
        <w:rPr>
          <w:rFonts w:asciiTheme="minorBidi" w:hAnsiTheme="minorBidi"/>
          <w:szCs w:val="20"/>
        </w:rPr>
        <w:t xml:space="preserve"> initial UL</w:t>
      </w:r>
      <w:r w:rsidR="006717AF" w:rsidRPr="002E0970">
        <w:rPr>
          <w:rFonts w:asciiTheme="minorBidi" w:hAnsiTheme="minorBidi"/>
          <w:szCs w:val="20"/>
        </w:rPr>
        <w:t>/DL BWPs have the same center frequency.</w:t>
      </w:r>
    </w:p>
    <w:p w14:paraId="658809B3" w14:textId="5C853B0B" w:rsidR="002E0970" w:rsidRDefault="002E0970" w:rsidP="007A59E8">
      <w:pPr>
        <w:pStyle w:val="ListParagraph"/>
        <w:ind w:left="420"/>
        <w:jc w:val="both"/>
        <w:rPr>
          <w:rFonts w:ascii="Arial" w:hAnsi="Arial" w:cs="Arial"/>
          <w:sz w:val="20"/>
          <w:szCs w:val="20"/>
          <w:lang w:val="en-US"/>
        </w:rPr>
      </w:pPr>
    </w:p>
    <w:p w14:paraId="16A0A487" w14:textId="5F9CAA73" w:rsidR="00395FB1" w:rsidRPr="00395FB1" w:rsidRDefault="00395FB1" w:rsidP="00395FB1">
      <w:pPr>
        <w:pStyle w:val="Proposal"/>
        <w:rPr>
          <w:rFonts w:cs="Arial"/>
        </w:rPr>
      </w:pPr>
      <w:bookmarkStart w:id="64" w:name="_Toc87060638"/>
      <w:r w:rsidRPr="002E0970">
        <w:t>Option 1 and Option 2 correspond to scenarios where initial UL/DL BWPs have the same center frequency.</w:t>
      </w:r>
      <w:bookmarkEnd w:id="64"/>
    </w:p>
    <w:p w14:paraId="1843EBA0" w14:textId="32142E88" w:rsidR="00395FB1" w:rsidRPr="002E0970" w:rsidRDefault="00C468CA" w:rsidP="00395FB1">
      <w:pPr>
        <w:pStyle w:val="Proposal"/>
        <w:rPr>
          <w:rFonts w:cs="Arial"/>
        </w:rPr>
      </w:pPr>
      <w:bookmarkStart w:id="65" w:name="_Toc87060639"/>
      <w:r w:rsidRPr="00C468CA">
        <w:rPr>
          <w:rFonts w:cs="Arial"/>
        </w:rPr>
        <w:t xml:space="preserve">By supporting different center frequencies for initial UL/DL BWPs for RedCap in TDD, the initial DL BWP can always contain </w:t>
      </w:r>
      <w:r>
        <w:rPr>
          <w:rFonts w:cs="Arial"/>
        </w:rPr>
        <w:t>CD-</w:t>
      </w:r>
      <w:r w:rsidRPr="002E0970">
        <w:rPr>
          <w:rFonts w:asciiTheme="minorBidi" w:hAnsiTheme="minorBidi"/>
          <w:szCs w:val="20"/>
        </w:rPr>
        <w:t>SSB/CORESET#0/SIB</w:t>
      </w:r>
      <w:r>
        <w:rPr>
          <w:rFonts w:asciiTheme="minorBidi" w:hAnsiTheme="minorBidi"/>
          <w:szCs w:val="20"/>
        </w:rPr>
        <w:t xml:space="preserve"> (at least in FR1)</w:t>
      </w:r>
      <w:r w:rsidR="00155D2E">
        <w:rPr>
          <w:rFonts w:asciiTheme="minorBidi" w:hAnsiTheme="minorBidi"/>
          <w:szCs w:val="20"/>
        </w:rPr>
        <w:t xml:space="preserve"> thus discussions on SSB presence </w:t>
      </w:r>
      <w:r w:rsidR="00226861">
        <w:rPr>
          <w:rFonts w:asciiTheme="minorBidi" w:hAnsiTheme="minorBidi"/>
          <w:szCs w:val="20"/>
        </w:rPr>
        <w:t xml:space="preserve">in the </w:t>
      </w:r>
      <w:r w:rsidR="00B71E9E">
        <w:rPr>
          <w:rFonts w:asciiTheme="minorBidi" w:hAnsiTheme="minorBidi"/>
          <w:szCs w:val="20"/>
        </w:rPr>
        <w:t xml:space="preserve">initial DL BWP </w:t>
      </w:r>
      <w:r w:rsidR="00F82C25">
        <w:rPr>
          <w:rFonts w:asciiTheme="minorBidi" w:hAnsiTheme="minorBidi"/>
          <w:szCs w:val="20"/>
        </w:rPr>
        <w:t xml:space="preserve">as per </w:t>
      </w:r>
      <w:r w:rsidR="00B71E9E">
        <w:rPr>
          <w:rFonts w:asciiTheme="minorBidi" w:hAnsiTheme="minorBidi"/>
          <w:szCs w:val="20"/>
        </w:rPr>
        <w:t xml:space="preserve">Option 1 and Option 2 </w:t>
      </w:r>
      <w:r w:rsidR="005754E8">
        <w:rPr>
          <w:rFonts w:asciiTheme="minorBidi" w:hAnsiTheme="minorBidi"/>
          <w:szCs w:val="20"/>
        </w:rPr>
        <w:t>can be omitted.</w:t>
      </w:r>
      <w:bookmarkEnd w:id="65"/>
    </w:p>
    <w:p w14:paraId="3684ABDD" w14:textId="1FC0C91D" w:rsidR="0037497D" w:rsidRDefault="0037497D" w:rsidP="009F2608">
      <w:pPr>
        <w:pStyle w:val="Observation"/>
        <w:numPr>
          <w:ilvl w:val="0"/>
          <w:numId w:val="0"/>
        </w:numPr>
      </w:pPr>
    </w:p>
    <w:bookmarkEnd w:id="52"/>
    <w:bookmarkEnd w:id="53"/>
    <w:bookmarkEnd w:id="54"/>
    <w:bookmarkEnd w:id="55"/>
    <w:bookmarkEnd w:id="56"/>
    <w:p w14:paraId="5087DA22" w14:textId="26EF36F2" w:rsidR="001B4AFF" w:rsidRDefault="00057662" w:rsidP="00320910">
      <w:pPr>
        <w:pStyle w:val="Heading2"/>
      </w:pPr>
      <w:r>
        <w:t>3.3</w:t>
      </w:r>
      <w:r w:rsidR="001B4AFF" w:rsidRPr="00AA3123">
        <w:t xml:space="preserve"> </w:t>
      </w:r>
      <w:r w:rsidR="001B4AFF" w:rsidRPr="00AA3123">
        <w:tab/>
      </w:r>
      <w:r w:rsidR="001B4AFF">
        <w:t>SSB transmissions in DL BWP</w:t>
      </w:r>
    </w:p>
    <w:p w14:paraId="44BC12B8" w14:textId="77777777" w:rsidR="005805FB" w:rsidRPr="00E3529F" w:rsidRDefault="005805FB" w:rsidP="005805FB">
      <w:pPr>
        <w:overflowPunct w:val="0"/>
        <w:autoSpaceDE w:val="0"/>
        <w:autoSpaceDN w:val="0"/>
        <w:adjustRightInd w:val="0"/>
        <w:spacing w:after="180" w:line="240" w:lineRule="auto"/>
        <w:jc w:val="both"/>
        <w:textAlignment w:val="baseline"/>
        <w:rPr>
          <w:rFonts w:eastAsia="Times New Roman" w:cs="Arial"/>
          <w:szCs w:val="20"/>
          <w:lang w:val="en-GB" w:eastAsia="en-GB"/>
        </w:rPr>
      </w:pPr>
      <w:r>
        <w:rPr>
          <w:rFonts w:eastAsia="Times New Roman" w:cs="Arial"/>
          <w:szCs w:val="20"/>
          <w:lang w:val="en-GB" w:eastAsia="en-GB"/>
        </w:rPr>
        <w:t>T</w:t>
      </w:r>
      <w:r w:rsidRPr="00E3529F">
        <w:rPr>
          <w:rFonts w:eastAsia="Times New Roman" w:cs="Arial"/>
          <w:szCs w:val="20"/>
          <w:lang w:val="en-GB" w:eastAsia="en-GB"/>
        </w:rPr>
        <w:t>he two options</w:t>
      </w:r>
      <w:r>
        <w:rPr>
          <w:rFonts w:eastAsia="Times New Roman" w:cs="Arial"/>
          <w:szCs w:val="20"/>
          <w:lang w:val="en-GB" w:eastAsia="en-GB"/>
        </w:rPr>
        <w:t xml:space="preserve"> (Option 1 and Option 2) mainly related to presence of SSB in initial/RRC-configured DL BWPs are as follows:</w:t>
      </w:r>
    </w:p>
    <w:tbl>
      <w:tblPr>
        <w:tblStyle w:val="TableGrid1"/>
        <w:tblW w:w="0" w:type="auto"/>
        <w:tblInd w:w="0" w:type="dxa"/>
        <w:tblLook w:val="04A0" w:firstRow="1" w:lastRow="0" w:firstColumn="1" w:lastColumn="0" w:noHBand="0" w:noVBand="1"/>
      </w:tblPr>
      <w:tblGrid>
        <w:gridCol w:w="9629"/>
      </w:tblGrid>
      <w:tr w:rsidR="005805FB" w:rsidRPr="00E3529F" w14:paraId="4CF7ABA0" w14:textId="77777777" w:rsidTr="004204CE">
        <w:tc>
          <w:tcPr>
            <w:tcW w:w="9630" w:type="dxa"/>
            <w:tcBorders>
              <w:top w:val="single" w:sz="4" w:space="0" w:color="auto"/>
              <w:left w:val="single" w:sz="4" w:space="0" w:color="auto"/>
              <w:bottom w:val="single" w:sz="4" w:space="0" w:color="auto"/>
              <w:right w:val="single" w:sz="4" w:space="0" w:color="auto"/>
            </w:tcBorders>
            <w:hideMark/>
          </w:tcPr>
          <w:p w14:paraId="7E26FB7A" w14:textId="77777777" w:rsidR="005805FB" w:rsidRPr="00E3529F" w:rsidRDefault="005805FB" w:rsidP="001925A8">
            <w:pPr>
              <w:numPr>
                <w:ilvl w:val="0"/>
                <w:numId w:val="22"/>
              </w:numPr>
              <w:overflowPunct w:val="0"/>
              <w:autoSpaceDE w:val="0"/>
              <w:autoSpaceDN w:val="0"/>
              <w:adjustRightInd w:val="0"/>
              <w:spacing w:after="180" w:line="252" w:lineRule="auto"/>
              <w:contextualSpacing/>
              <w:textAlignment w:val="baseline"/>
              <w:rPr>
                <w:rFonts w:ascii="Times New Roman" w:eastAsia="Batang" w:hAnsi="Times New Roman" w:cs="Times New Roman"/>
                <w:bCs/>
                <w:szCs w:val="20"/>
                <w:lang w:val="en-GB" w:eastAsia="ja-JP"/>
              </w:rPr>
            </w:pPr>
            <w:r w:rsidRPr="00E3529F">
              <w:rPr>
                <w:rFonts w:ascii="Times New Roman" w:eastAsia="Batang" w:hAnsi="Times New Roman" w:cs="Times New Roman"/>
                <w:bCs/>
                <w:szCs w:val="20"/>
                <w:lang w:val="en-GB" w:eastAsia="en-GB"/>
              </w:rPr>
              <w:t>For FR1, following options:</w:t>
            </w:r>
          </w:p>
          <w:p w14:paraId="388A60F8" w14:textId="77777777" w:rsidR="005805FB" w:rsidRPr="00E3529F" w:rsidRDefault="005805FB" w:rsidP="001925A8">
            <w:pPr>
              <w:numPr>
                <w:ilvl w:val="1"/>
                <w:numId w:val="22"/>
              </w:numPr>
              <w:overflowPunct w:val="0"/>
              <w:autoSpaceDE w:val="0"/>
              <w:autoSpaceDN w:val="0"/>
              <w:adjustRightInd w:val="0"/>
              <w:spacing w:after="180" w:line="252" w:lineRule="auto"/>
              <w:contextualSpacing/>
              <w:textAlignment w:val="baseline"/>
              <w:rPr>
                <w:rFonts w:ascii="Times New Roman" w:eastAsia="Batang" w:hAnsi="Times New Roman" w:cs="Times New Roman"/>
                <w:bCs/>
                <w:szCs w:val="20"/>
                <w:lang w:val="en-GB" w:eastAsia="en-GB"/>
              </w:rPr>
            </w:pPr>
            <w:r w:rsidRPr="00E3529F">
              <w:rPr>
                <w:rFonts w:ascii="Times New Roman" w:eastAsia="Batang" w:hAnsi="Times New Roman" w:cs="Times New Roman"/>
                <w:bCs/>
                <w:szCs w:val="20"/>
                <w:lang w:val="en-GB" w:eastAsia="en-GB"/>
              </w:rPr>
              <w:t>Option 1:</w:t>
            </w:r>
          </w:p>
          <w:p w14:paraId="2FB6E86E" w14:textId="77777777" w:rsidR="005805FB" w:rsidRPr="00E3529F" w:rsidRDefault="005805FB" w:rsidP="001925A8">
            <w:pPr>
              <w:numPr>
                <w:ilvl w:val="2"/>
                <w:numId w:val="22"/>
              </w:numPr>
              <w:overflowPunct w:val="0"/>
              <w:autoSpaceDE w:val="0"/>
              <w:autoSpaceDN w:val="0"/>
              <w:adjustRightInd w:val="0"/>
              <w:spacing w:after="180" w:line="252" w:lineRule="auto"/>
              <w:contextualSpacing/>
              <w:textAlignment w:val="baseline"/>
              <w:rPr>
                <w:rFonts w:ascii="Times New Roman" w:eastAsia="Batang" w:hAnsi="Times New Roman" w:cs="Times New Roman"/>
                <w:bCs/>
                <w:szCs w:val="20"/>
                <w:lang w:val="en-GB" w:eastAsia="en-GB"/>
              </w:rPr>
            </w:pPr>
            <w:r w:rsidRPr="00E3529F">
              <w:rPr>
                <w:rFonts w:ascii="Times New Roman" w:eastAsia="Batang" w:hAnsi="Times New Roman" w:cs="Times New Roman"/>
                <w:bCs/>
                <w:szCs w:val="20"/>
                <w:lang w:val="en-GB" w:eastAsia="en-GB"/>
              </w:rPr>
              <w:t>For a separate initial DL BWP (if it does not include CD-SSB and the entire CORESET#0),</w:t>
            </w:r>
          </w:p>
          <w:p w14:paraId="16FF91BD" w14:textId="77777777" w:rsidR="005805FB" w:rsidRPr="00E3529F" w:rsidRDefault="005805FB" w:rsidP="001925A8">
            <w:pPr>
              <w:numPr>
                <w:ilvl w:val="3"/>
                <w:numId w:val="22"/>
              </w:numPr>
              <w:overflowPunct w:val="0"/>
              <w:autoSpaceDE w:val="0"/>
              <w:autoSpaceDN w:val="0"/>
              <w:adjustRightInd w:val="0"/>
              <w:spacing w:after="180" w:line="252" w:lineRule="auto"/>
              <w:contextualSpacing/>
              <w:textAlignment w:val="baseline"/>
              <w:rPr>
                <w:rFonts w:ascii="Times New Roman" w:eastAsia="Batang" w:hAnsi="Times New Roman" w:cs="Times New Roman"/>
                <w:bCs/>
                <w:szCs w:val="20"/>
                <w:lang w:val="en-GB" w:eastAsia="en-GB"/>
              </w:rPr>
            </w:pPr>
            <w:r w:rsidRPr="00E3529F">
              <w:rPr>
                <w:rFonts w:ascii="Times New Roman" w:eastAsia="Batang" w:hAnsi="Times New Roman" w:cs="Times New Roman"/>
                <w:bCs/>
                <w:szCs w:val="20"/>
                <w:lang w:val="en-GB" w:eastAsia="en-GB"/>
              </w:rPr>
              <w:t>RedCap UE does NOT expect it to contain SSB/CORESET#0/SIB.</w:t>
            </w:r>
          </w:p>
          <w:p w14:paraId="6586C7F7" w14:textId="77777777" w:rsidR="005805FB" w:rsidRPr="00E3529F" w:rsidRDefault="005805FB" w:rsidP="001925A8">
            <w:pPr>
              <w:numPr>
                <w:ilvl w:val="2"/>
                <w:numId w:val="22"/>
              </w:numPr>
              <w:overflowPunct w:val="0"/>
              <w:autoSpaceDE w:val="0"/>
              <w:autoSpaceDN w:val="0"/>
              <w:adjustRightInd w:val="0"/>
              <w:spacing w:after="180" w:line="252" w:lineRule="auto"/>
              <w:contextualSpacing/>
              <w:textAlignment w:val="baseline"/>
              <w:rPr>
                <w:rFonts w:ascii="Times New Roman" w:eastAsia="Batang" w:hAnsi="Times New Roman" w:cs="Times New Roman"/>
                <w:bCs/>
                <w:szCs w:val="20"/>
                <w:lang w:val="en-GB" w:eastAsia="en-GB"/>
              </w:rPr>
            </w:pPr>
            <w:r w:rsidRPr="00E3529F">
              <w:rPr>
                <w:rFonts w:ascii="Times New Roman" w:eastAsia="Batang" w:hAnsi="Times New Roman" w:cs="Times New Roman"/>
                <w:bCs/>
                <w:szCs w:val="20"/>
                <w:lang w:val="en-GB" w:eastAsia="en-GB"/>
              </w:rPr>
              <w:t>For an RRC-configured active DL BWP (if it does not include CD-SSB and the entire CORESET#0),</w:t>
            </w:r>
          </w:p>
          <w:p w14:paraId="7EB2336E" w14:textId="77777777" w:rsidR="005805FB" w:rsidRPr="00E3529F" w:rsidRDefault="005805FB" w:rsidP="001925A8">
            <w:pPr>
              <w:numPr>
                <w:ilvl w:val="3"/>
                <w:numId w:val="22"/>
              </w:numPr>
              <w:overflowPunct w:val="0"/>
              <w:autoSpaceDE w:val="0"/>
              <w:autoSpaceDN w:val="0"/>
              <w:adjustRightInd w:val="0"/>
              <w:spacing w:after="180" w:line="252" w:lineRule="auto"/>
              <w:contextualSpacing/>
              <w:textAlignment w:val="baseline"/>
              <w:rPr>
                <w:rFonts w:ascii="Times New Roman" w:eastAsia="Batang" w:hAnsi="Times New Roman" w:cs="Times New Roman"/>
                <w:bCs/>
                <w:szCs w:val="20"/>
                <w:lang w:val="en-GB" w:eastAsia="en-GB"/>
              </w:rPr>
            </w:pPr>
            <w:r w:rsidRPr="00E3529F">
              <w:rPr>
                <w:rFonts w:ascii="Times New Roman" w:eastAsia="Batang" w:hAnsi="Times New Roman" w:cs="Times New Roman"/>
                <w:bCs/>
                <w:szCs w:val="20"/>
                <w:lang w:val="en-GB" w:eastAsia="en-GB"/>
              </w:rPr>
              <w:t>RedCap UE does NOT expect it to contain SSB/CORESET#0/SIB.</w:t>
            </w:r>
          </w:p>
          <w:p w14:paraId="156C07F6" w14:textId="77777777" w:rsidR="005805FB" w:rsidRPr="00E3529F" w:rsidRDefault="005805FB" w:rsidP="001925A8">
            <w:pPr>
              <w:numPr>
                <w:ilvl w:val="1"/>
                <w:numId w:val="22"/>
              </w:numPr>
              <w:overflowPunct w:val="0"/>
              <w:autoSpaceDE w:val="0"/>
              <w:autoSpaceDN w:val="0"/>
              <w:adjustRightInd w:val="0"/>
              <w:spacing w:after="180" w:line="252" w:lineRule="auto"/>
              <w:contextualSpacing/>
              <w:textAlignment w:val="baseline"/>
              <w:rPr>
                <w:rFonts w:ascii="Times New Roman" w:eastAsia="Batang" w:hAnsi="Times New Roman" w:cs="Times New Roman"/>
                <w:bCs/>
                <w:szCs w:val="20"/>
                <w:lang w:val="en-GB" w:eastAsia="en-GB"/>
              </w:rPr>
            </w:pPr>
            <w:r w:rsidRPr="00E3529F">
              <w:rPr>
                <w:rFonts w:ascii="Times New Roman" w:eastAsia="Batang" w:hAnsi="Times New Roman" w:cs="Times New Roman"/>
                <w:bCs/>
                <w:szCs w:val="20"/>
                <w:lang w:val="en-GB" w:eastAsia="en-GB"/>
              </w:rPr>
              <w:t>Option 2:</w:t>
            </w:r>
          </w:p>
          <w:p w14:paraId="6C7A2BBA" w14:textId="77777777" w:rsidR="005805FB" w:rsidRPr="00E3529F" w:rsidRDefault="005805FB" w:rsidP="001925A8">
            <w:pPr>
              <w:numPr>
                <w:ilvl w:val="2"/>
                <w:numId w:val="22"/>
              </w:numPr>
              <w:overflowPunct w:val="0"/>
              <w:autoSpaceDE w:val="0"/>
              <w:autoSpaceDN w:val="0"/>
              <w:adjustRightInd w:val="0"/>
              <w:spacing w:after="180" w:line="252" w:lineRule="auto"/>
              <w:contextualSpacing/>
              <w:textAlignment w:val="baseline"/>
              <w:rPr>
                <w:rFonts w:ascii="Times New Roman" w:eastAsia="Batang" w:hAnsi="Times New Roman" w:cs="Times New Roman"/>
                <w:bCs/>
                <w:szCs w:val="20"/>
                <w:lang w:val="en-GB" w:eastAsia="en-GB"/>
              </w:rPr>
            </w:pPr>
            <w:r w:rsidRPr="00E3529F">
              <w:rPr>
                <w:rFonts w:ascii="Times New Roman" w:eastAsia="Batang" w:hAnsi="Times New Roman" w:cs="Times New Roman"/>
                <w:bCs/>
                <w:szCs w:val="20"/>
                <w:lang w:val="en-GB" w:eastAsia="en-GB"/>
              </w:rPr>
              <w:t>For a separate initial DL BWP (if it does not include CD-SSB and the entire CORESET#0),</w:t>
            </w:r>
          </w:p>
          <w:p w14:paraId="25EC63BA" w14:textId="77777777" w:rsidR="005805FB" w:rsidRPr="00E3529F" w:rsidRDefault="005805FB" w:rsidP="001925A8">
            <w:pPr>
              <w:numPr>
                <w:ilvl w:val="3"/>
                <w:numId w:val="22"/>
              </w:numPr>
              <w:overflowPunct w:val="0"/>
              <w:autoSpaceDE w:val="0"/>
              <w:autoSpaceDN w:val="0"/>
              <w:adjustRightInd w:val="0"/>
              <w:spacing w:after="180" w:line="252" w:lineRule="auto"/>
              <w:contextualSpacing/>
              <w:textAlignment w:val="baseline"/>
              <w:rPr>
                <w:rFonts w:ascii="Times New Roman" w:eastAsia="Batang" w:hAnsi="Times New Roman" w:cs="Times New Roman"/>
                <w:bCs/>
                <w:szCs w:val="20"/>
                <w:lang w:val="en-GB" w:eastAsia="en-GB"/>
              </w:rPr>
            </w:pPr>
            <w:r w:rsidRPr="00E3529F">
              <w:rPr>
                <w:rFonts w:ascii="Times New Roman" w:eastAsia="Batang" w:hAnsi="Times New Roman" w:cs="Times New Roman"/>
                <w:bCs/>
                <w:szCs w:val="20"/>
                <w:lang w:val="en-GB" w:eastAsia="en-GB"/>
              </w:rPr>
              <w:t>If it is configured for random access while not for paging in idle/inactive mode, RedCap UE does NOT expect it to contain SSB/CORESET#0/SIB.</w:t>
            </w:r>
          </w:p>
          <w:p w14:paraId="78BA926F" w14:textId="77777777" w:rsidR="005805FB" w:rsidRPr="00E3529F" w:rsidRDefault="005805FB" w:rsidP="001925A8">
            <w:pPr>
              <w:numPr>
                <w:ilvl w:val="4"/>
                <w:numId w:val="22"/>
              </w:numPr>
              <w:overflowPunct w:val="0"/>
              <w:autoSpaceDE w:val="0"/>
              <w:autoSpaceDN w:val="0"/>
              <w:adjustRightInd w:val="0"/>
              <w:spacing w:after="180" w:line="252" w:lineRule="auto"/>
              <w:contextualSpacing/>
              <w:textAlignment w:val="baseline"/>
              <w:rPr>
                <w:rFonts w:ascii="Times New Roman" w:eastAsia="Batang" w:hAnsi="Times New Roman" w:cs="Times New Roman"/>
                <w:bCs/>
                <w:szCs w:val="20"/>
                <w:lang w:val="en-GB" w:eastAsia="en-GB"/>
              </w:rPr>
            </w:pPr>
            <w:r w:rsidRPr="00E3529F">
              <w:rPr>
                <w:rFonts w:ascii="Times New Roman" w:eastAsia="Batang" w:hAnsi="Times New Roman" w:cs="Times New Roman"/>
                <w:bCs/>
                <w:szCs w:val="20"/>
                <w:lang w:val="en-GB" w:eastAsia="en-GB"/>
              </w:rPr>
              <w:t xml:space="preserve">FFS: </w:t>
            </w:r>
            <w:bookmarkStart w:id="66" w:name="_Hlk86424594"/>
            <w:r w:rsidRPr="00E3529F">
              <w:rPr>
                <w:rFonts w:ascii="Times New Roman" w:eastAsia="Batang" w:hAnsi="Times New Roman" w:cs="Times New Roman"/>
                <w:bCs/>
                <w:szCs w:val="20"/>
                <w:lang w:val="en-GB" w:eastAsia="en-GB"/>
              </w:rPr>
              <w:t>For BWP#0 configuration option 1, whether the UE can expect SSB transmission in the separate initial DL BWP when it is used in connected mode.</w:t>
            </w:r>
            <w:bookmarkEnd w:id="66"/>
          </w:p>
          <w:p w14:paraId="2890B18C" w14:textId="77777777" w:rsidR="005805FB" w:rsidRPr="00E3529F" w:rsidRDefault="005805FB" w:rsidP="001925A8">
            <w:pPr>
              <w:numPr>
                <w:ilvl w:val="3"/>
                <w:numId w:val="22"/>
              </w:numPr>
              <w:overflowPunct w:val="0"/>
              <w:autoSpaceDE w:val="0"/>
              <w:autoSpaceDN w:val="0"/>
              <w:adjustRightInd w:val="0"/>
              <w:spacing w:after="180" w:line="252" w:lineRule="auto"/>
              <w:contextualSpacing/>
              <w:textAlignment w:val="baseline"/>
              <w:rPr>
                <w:rFonts w:ascii="Times New Roman" w:eastAsia="Batang" w:hAnsi="Times New Roman" w:cs="Times New Roman"/>
                <w:bCs/>
                <w:szCs w:val="20"/>
                <w:lang w:val="en-GB" w:eastAsia="en-GB"/>
              </w:rPr>
            </w:pPr>
            <w:r w:rsidRPr="00E3529F">
              <w:rPr>
                <w:rFonts w:ascii="Times New Roman" w:eastAsia="Batang" w:hAnsi="Times New Roman" w:cs="Times New Roman"/>
                <w:bCs/>
                <w:szCs w:val="20"/>
                <w:lang w:val="en-GB" w:eastAsia="en-GB"/>
              </w:rPr>
              <w:t>If it is configured for paging, RedCap UE expects it to contain NCD-SSB for serving cell but not CORESET#0/SIB.</w:t>
            </w:r>
          </w:p>
          <w:p w14:paraId="51F82033" w14:textId="77777777" w:rsidR="005805FB" w:rsidRPr="00E3529F" w:rsidRDefault="005805FB" w:rsidP="001925A8">
            <w:pPr>
              <w:numPr>
                <w:ilvl w:val="2"/>
                <w:numId w:val="22"/>
              </w:numPr>
              <w:overflowPunct w:val="0"/>
              <w:autoSpaceDE w:val="0"/>
              <w:autoSpaceDN w:val="0"/>
              <w:adjustRightInd w:val="0"/>
              <w:spacing w:after="180" w:line="252" w:lineRule="auto"/>
              <w:contextualSpacing/>
              <w:textAlignment w:val="baseline"/>
              <w:rPr>
                <w:rFonts w:ascii="Times New Roman" w:eastAsia="Batang" w:hAnsi="Times New Roman" w:cs="Times New Roman"/>
                <w:bCs/>
                <w:szCs w:val="20"/>
                <w:lang w:val="en-GB" w:eastAsia="en-GB"/>
              </w:rPr>
            </w:pPr>
            <w:r w:rsidRPr="00E3529F">
              <w:rPr>
                <w:rFonts w:ascii="Times New Roman" w:eastAsia="Batang" w:hAnsi="Times New Roman" w:cs="Times New Roman"/>
                <w:bCs/>
                <w:szCs w:val="20"/>
                <w:lang w:val="en-GB" w:eastAsia="en-GB"/>
              </w:rPr>
              <w:t>For an RRC-configured active DL BWP in connected mode (if it does not include CD-SSB and the entire CORESET#0),</w:t>
            </w:r>
          </w:p>
          <w:p w14:paraId="36F82449" w14:textId="77777777" w:rsidR="005805FB" w:rsidRPr="00E3529F" w:rsidRDefault="005805FB" w:rsidP="001925A8">
            <w:pPr>
              <w:numPr>
                <w:ilvl w:val="3"/>
                <w:numId w:val="22"/>
              </w:numPr>
              <w:overflowPunct w:val="0"/>
              <w:autoSpaceDE w:val="0"/>
              <w:autoSpaceDN w:val="0"/>
              <w:adjustRightInd w:val="0"/>
              <w:spacing w:after="180" w:line="252" w:lineRule="auto"/>
              <w:contextualSpacing/>
              <w:textAlignment w:val="baseline"/>
              <w:rPr>
                <w:rFonts w:ascii="Times New Roman" w:eastAsia="Batang" w:hAnsi="Times New Roman" w:cs="Times New Roman"/>
                <w:bCs/>
                <w:szCs w:val="20"/>
                <w:lang w:val="en-GB" w:eastAsia="en-GB"/>
              </w:rPr>
            </w:pPr>
            <w:r w:rsidRPr="00E3529F">
              <w:rPr>
                <w:rFonts w:ascii="Times New Roman" w:eastAsia="Batang" w:hAnsi="Times New Roman" w:cs="Times New Roman"/>
                <w:bCs/>
                <w:szCs w:val="20"/>
                <w:lang w:val="en-GB" w:eastAsia="en-GB"/>
              </w:rPr>
              <w:lastRenderedPageBreak/>
              <w:t>RedCap UE expects it to contain NCD-SSB for serving cell [</w:t>
            </w:r>
            <w:r w:rsidRPr="002809A1">
              <w:rPr>
                <w:rFonts w:ascii="Times New Roman" w:eastAsia="Batang" w:hAnsi="Times New Roman" w:cs="Times New Roman"/>
                <w:szCs w:val="20"/>
                <w:highlight w:val="yellow"/>
                <w:lang w:val="en-GB" w:eastAsia="en-GB"/>
              </w:rPr>
              <w:t>FFS</w:t>
            </w:r>
            <w:r w:rsidRPr="00E3529F">
              <w:rPr>
                <w:rFonts w:ascii="Times New Roman" w:eastAsia="Batang" w:hAnsi="Times New Roman" w:cs="Times New Roman"/>
                <w:bCs/>
                <w:szCs w:val="20"/>
                <w:lang w:val="en-GB" w:eastAsia="en-GB"/>
              </w:rPr>
              <w:t>: or CSI-RS or measurement gap configuration] but not CORESET#0/SIB.</w:t>
            </w:r>
          </w:p>
          <w:p w14:paraId="6894E39A" w14:textId="77777777" w:rsidR="005805FB" w:rsidRPr="00E3529F" w:rsidRDefault="005805FB" w:rsidP="001925A8">
            <w:pPr>
              <w:numPr>
                <w:ilvl w:val="1"/>
                <w:numId w:val="22"/>
              </w:numPr>
              <w:overflowPunct w:val="0"/>
              <w:autoSpaceDE w:val="0"/>
              <w:autoSpaceDN w:val="0"/>
              <w:adjustRightInd w:val="0"/>
              <w:spacing w:after="180" w:line="252" w:lineRule="auto"/>
              <w:contextualSpacing/>
              <w:textAlignment w:val="baseline"/>
              <w:rPr>
                <w:rFonts w:ascii="Times New Roman" w:eastAsia="Batang" w:hAnsi="Times New Roman" w:cs="Times New Roman"/>
                <w:bCs/>
                <w:szCs w:val="20"/>
                <w:lang w:val="en-GB" w:eastAsia="en-GB"/>
              </w:rPr>
            </w:pPr>
            <w:r w:rsidRPr="00E3529F">
              <w:rPr>
                <w:rFonts w:ascii="Times New Roman" w:eastAsia="Batang" w:hAnsi="Times New Roman" w:cs="Times New Roman"/>
                <w:bCs/>
                <w:szCs w:val="20"/>
                <w:lang w:val="en-GB" w:eastAsia="en-GB"/>
              </w:rPr>
              <w:t>Note: if a separate initial/RRC configured DL BWP is configured to contain the entire CORESET#0, CD-SSB is expected by RedCap UE.</w:t>
            </w:r>
          </w:p>
          <w:p w14:paraId="32EC780B" w14:textId="77777777" w:rsidR="005805FB" w:rsidRPr="00E3529F" w:rsidRDefault="005805FB" w:rsidP="001925A8">
            <w:pPr>
              <w:numPr>
                <w:ilvl w:val="1"/>
                <w:numId w:val="22"/>
              </w:numPr>
              <w:overflowPunct w:val="0"/>
              <w:autoSpaceDE w:val="0"/>
              <w:autoSpaceDN w:val="0"/>
              <w:adjustRightInd w:val="0"/>
              <w:spacing w:after="180" w:line="252" w:lineRule="auto"/>
              <w:contextualSpacing/>
              <w:textAlignment w:val="baseline"/>
              <w:rPr>
                <w:rFonts w:ascii="Times New Roman" w:eastAsia="Batang" w:hAnsi="Times New Roman" w:cs="Times New Roman"/>
                <w:bCs/>
                <w:szCs w:val="20"/>
                <w:lang w:val="en-GB" w:eastAsia="en-GB"/>
              </w:rPr>
            </w:pPr>
            <w:r w:rsidRPr="00E3529F">
              <w:rPr>
                <w:rFonts w:ascii="Times New Roman" w:eastAsia="Batang" w:hAnsi="Times New Roman" w:cs="Times New Roman"/>
                <w:bCs/>
                <w:szCs w:val="20"/>
                <w:lang w:val="en-GB" w:eastAsia="en-GB"/>
              </w:rPr>
              <w:t>Note: The network may choose to configure SSB or MIB-configured CORESET#0 or SIB1 to be within the respective DL BWP.</w:t>
            </w:r>
          </w:p>
          <w:p w14:paraId="34C60375" w14:textId="77777777" w:rsidR="005805FB" w:rsidRPr="00E3529F" w:rsidRDefault="005805FB" w:rsidP="001925A8">
            <w:pPr>
              <w:numPr>
                <w:ilvl w:val="1"/>
                <w:numId w:val="22"/>
              </w:numPr>
              <w:overflowPunct w:val="0"/>
              <w:autoSpaceDE w:val="0"/>
              <w:autoSpaceDN w:val="0"/>
              <w:adjustRightInd w:val="0"/>
              <w:spacing w:after="180" w:line="252" w:lineRule="auto"/>
              <w:contextualSpacing/>
              <w:textAlignment w:val="baseline"/>
              <w:rPr>
                <w:rFonts w:ascii="Times New Roman" w:eastAsia="Batang" w:hAnsi="Times New Roman" w:cs="Times New Roman"/>
                <w:bCs/>
                <w:szCs w:val="20"/>
                <w:lang w:val="en-GB" w:eastAsia="en-GB"/>
              </w:rPr>
            </w:pPr>
            <w:r w:rsidRPr="00F63816">
              <w:rPr>
                <w:rFonts w:ascii="Times New Roman" w:eastAsia="Batang" w:hAnsi="Times New Roman" w:cs="Times New Roman"/>
                <w:szCs w:val="20"/>
                <w:highlight w:val="yellow"/>
                <w:lang w:val="en-GB" w:eastAsia="en-GB"/>
              </w:rPr>
              <w:t>FFS:</w:t>
            </w:r>
            <w:r w:rsidRPr="00E3529F">
              <w:rPr>
                <w:rFonts w:ascii="Times New Roman" w:eastAsia="Batang" w:hAnsi="Times New Roman" w:cs="Times New Roman"/>
                <w:bCs/>
                <w:szCs w:val="20"/>
                <w:lang w:val="en-GB" w:eastAsia="en-GB"/>
              </w:rPr>
              <w:t xml:space="preserve"> For Option 1 and Option 2, whether RedCap UE can/cannot expect SSB under certain other conditions, e.g., for SSB monitoring periodicity (i.e., SMTC configuration) and DRX cycle</w:t>
            </w:r>
          </w:p>
          <w:p w14:paraId="2B7F6198" w14:textId="77777777" w:rsidR="005805FB" w:rsidRPr="00E3529F" w:rsidRDefault="005805FB" w:rsidP="001925A8">
            <w:pPr>
              <w:numPr>
                <w:ilvl w:val="1"/>
                <w:numId w:val="22"/>
              </w:numPr>
              <w:overflowPunct w:val="0"/>
              <w:autoSpaceDE w:val="0"/>
              <w:autoSpaceDN w:val="0"/>
              <w:adjustRightInd w:val="0"/>
              <w:spacing w:after="180" w:line="252" w:lineRule="auto"/>
              <w:contextualSpacing/>
              <w:textAlignment w:val="baseline"/>
              <w:rPr>
                <w:rFonts w:ascii="Times New Roman" w:eastAsia="Batang" w:hAnsi="Times New Roman" w:cs="Times New Roman"/>
                <w:bCs/>
                <w:szCs w:val="20"/>
                <w:lang w:eastAsia="en-GB"/>
              </w:rPr>
            </w:pPr>
            <w:r w:rsidRPr="00F63816">
              <w:rPr>
                <w:rFonts w:ascii="Times New Roman" w:eastAsia="Batang" w:hAnsi="Times New Roman" w:cs="Times New Roman"/>
                <w:szCs w:val="20"/>
                <w:highlight w:val="yellow"/>
                <w:lang w:eastAsia="en-GB"/>
              </w:rPr>
              <w:t>FFS:</w:t>
            </w:r>
            <w:r w:rsidRPr="00E3529F">
              <w:rPr>
                <w:rFonts w:ascii="Times New Roman" w:eastAsia="Batang" w:hAnsi="Times New Roman" w:cs="Times New Roman"/>
                <w:bCs/>
                <w:szCs w:val="20"/>
                <w:lang w:eastAsia="en-GB"/>
              </w:rPr>
              <w:t xml:space="preserve"> Whether additional mechanism for SI update or how SI update notifications and/or SI updates are signaled to RedCap UEs</w:t>
            </w:r>
          </w:p>
          <w:p w14:paraId="50CFBFA3" w14:textId="77777777" w:rsidR="005805FB" w:rsidRPr="00E3529F" w:rsidRDefault="005805FB" w:rsidP="001925A8">
            <w:pPr>
              <w:numPr>
                <w:ilvl w:val="1"/>
                <w:numId w:val="22"/>
              </w:numPr>
              <w:overflowPunct w:val="0"/>
              <w:autoSpaceDE w:val="0"/>
              <w:autoSpaceDN w:val="0"/>
              <w:adjustRightInd w:val="0"/>
              <w:spacing w:after="180" w:line="252" w:lineRule="auto"/>
              <w:contextualSpacing/>
              <w:textAlignment w:val="baseline"/>
              <w:rPr>
                <w:rFonts w:ascii="Times New Roman" w:eastAsia="Batang" w:hAnsi="Times New Roman" w:cs="Times New Roman"/>
                <w:b/>
                <w:sz w:val="22"/>
                <w:szCs w:val="20"/>
                <w:lang w:val="en-GB" w:eastAsia="en-GB"/>
              </w:rPr>
            </w:pPr>
            <w:r w:rsidRPr="00F63816">
              <w:rPr>
                <w:rFonts w:ascii="Times New Roman" w:eastAsia="Batang" w:hAnsi="Times New Roman" w:cs="Times New Roman"/>
                <w:szCs w:val="20"/>
                <w:highlight w:val="yellow"/>
                <w:lang w:val="en-GB" w:eastAsia="en-GB"/>
              </w:rPr>
              <w:t>FFS:</w:t>
            </w:r>
            <w:r w:rsidRPr="00E3529F">
              <w:rPr>
                <w:rFonts w:ascii="Times New Roman" w:eastAsia="Batang" w:hAnsi="Times New Roman" w:cs="Times New Roman"/>
                <w:bCs/>
                <w:szCs w:val="20"/>
                <w:lang w:val="en-GB" w:eastAsia="en-GB"/>
              </w:rPr>
              <w:t xml:space="preserve"> FR2 case</w:t>
            </w:r>
          </w:p>
        </w:tc>
      </w:tr>
    </w:tbl>
    <w:p w14:paraId="5CE47DD4" w14:textId="77777777" w:rsidR="005805FB" w:rsidRPr="005805FB" w:rsidRDefault="005805FB" w:rsidP="005805FB">
      <w:pPr>
        <w:rPr>
          <w:lang w:val="en-GB" w:eastAsia="ja-JP"/>
        </w:rPr>
      </w:pPr>
    </w:p>
    <w:p w14:paraId="4B15F21F" w14:textId="0C6D7BA9" w:rsidR="00CE7A79" w:rsidRDefault="00B00EDF" w:rsidP="00527049">
      <w:pPr>
        <w:pStyle w:val="ArialText"/>
      </w:pPr>
      <w:r>
        <w:t>In general, t</w:t>
      </w:r>
      <w:r w:rsidR="00527049">
        <w:t xml:space="preserve">ransmission of </w:t>
      </w:r>
      <w:r w:rsidR="00527049" w:rsidRPr="00566CF8">
        <w:t>additional SSBs result</w:t>
      </w:r>
      <w:r w:rsidR="00527049">
        <w:t>s</w:t>
      </w:r>
      <w:r w:rsidR="00527049" w:rsidRPr="00566CF8">
        <w:t xml:space="preserve"> in significant overhead, increased inter-cell interference, and reduced network energy/spectral efficiency. </w:t>
      </w:r>
      <w:r w:rsidR="00527049">
        <w:t xml:space="preserve">Such negative impacts are particularly pronounced in FR2 in which up to 64 SSBs may need to be transmitted (i.e., one SSB per beam) may need to be transmitted. </w:t>
      </w:r>
      <w:r w:rsidR="00DC201D">
        <w:t>Moreover,</w:t>
      </w:r>
      <w:r w:rsidR="00D12C6A">
        <w:t xml:space="preserve"> since multiple BWPs can be configured for RedCap UEs,</w:t>
      </w:r>
      <w:r w:rsidR="00DC201D">
        <w:t xml:space="preserve"> the overhead can be significant </w:t>
      </w:r>
      <w:r w:rsidR="00D12C6A">
        <w:t>if additional SSBs need to be transmitted in all DL BWPs.</w:t>
      </w:r>
      <w:r w:rsidR="00846F83">
        <w:t xml:space="preserve"> For example, in a 40 MHz TDD carrier</w:t>
      </w:r>
      <w:r w:rsidR="00815E3C">
        <w:t xml:space="preserve"> </w:t>
      </w:r>
      <w:r w:rsidR="00846F83">
        <w:t xml:space="preserve">with </w:t>
      </w:r>
      <w:r w:rsidR="000F49A3">
        <w:t>three RedCap</w:t>
      </w:r>
      <w:r w:rsidR="00815E3C">
        <w:t>-specific</w:t>
      </w:r>
      <w:r w:rsidR="00846F83">
        <w:t xml:space="preserve"> </w:t>
      </w:r>
      <w:r w:rsidR="00815E3C">
        <w:t xml:space="preserve">DL </w:t>
      </w:r>
      <w:r w:rsidR="00846F83">
        <w:t>BWPs, the additional overhead</w:t>
      </w:r>
      <w:r w:rsidR="005D7C19">
        <w:t xml:space="preserve"> of SSB transmissions</w:t>
      </w:r>
      <w:r w:rsidR="00815E3C">
        <w:t xml:space="preserve"> can be </w:t>
      </w:r>
      <w:r w:rsidR="00775531">
        <w:t>around</w:t>
      </w:r>
      <w:r w:rsidR="00815E3C">
        <w:t xml:space="preserve"> 6%.</w:t>
      </w:r>
      <w:r w:rsidR="0098501A">
        <w:t xml:space="preserve"> In FR2 with </w:t>
      </w:r>
      <w:r w:rsidR="0093060C">
        <w:t xml:space="preserve">an </w:t>
      </w:r>
      <w:r w:rsidR="0098501A">
        <w:t>analog beamforming</w:t>
      </w:r>
      <w:r w:rsidR="00775531">
        <w:t xml:space="preserve"> where</w:t>
      </w:r>
      <w:r w:rsidR="0098501A">
        <w:t xml:space="preserve"> </w:t>
      </w:r>
      <w:r w:rsidR="008C2216">
        <w:t xml:space="preserve">only </w:t>
      </w:r>
      <w:r w:rsidR="00CB3B0C">
        <w:t xml:space="preserve">one beam </w:t>
      </w:r>
      <w:r w:rsidR="008C2216">
        <w:t>can be</w:t>
      </w:r>
      <w:r w:rsidR="00CB3B0C">
        <w:t xml:space="preserve"> active</w:t>
      </w:r>
      <w:r w:rsidR="008C2216">
        <w:t xml:space="preserve"> </w:t>
      </w:r>
      <w:r w:rsidR="00775531">
        <w:t xml:space="preserve">during the </w:t>
      </w:r>
      <w:r w:rsidR="008C2216">
        <w:t>SSB duration</w:t>
      </w:r>
      <w:r w:rsidR="00775531">
        <w:t>, the entire carrier bandwidth cannot be utilized</w:t>
      </w:r>
      <w:r w:rsidR="000F6A20">
        <w:t>. This results in a significant overhead</w:t>
      </w:r>
      <w:r w:rsidR="00193F02">
        <w:t xml:space="preserve"> in FR2</w:t>
      </w:r>
      <w:r w:rsidR="000F6A20">
        <w:t>.</w:t>
      </w:r>
      <w:r w:rsidR="00193F02">
        <w:t xml:space="preserve"> For example, considering 64 SSBs per SSB burst, a 20 ms SSB periodicity, and a 50% DL/UL split, the overhead </w:t>
      </w:r>
      <w:r w:rsidR="00014170">
        <w:t>is over 21%.</w:t>
      </w:r>
      <w:r w:rsidR="000F6A20">
        <w:t xml:space="preserve"> </w:t>
      </w:r>
      <w:r w:rsidR="00CB3B0C">
        <w:t xml:space="preserve"> </w:t>
      </w:r>
      <w:r w:rsidR="00846F83">
        <w:t xml:space="preserve"> </w:t>
      </w:r>
      <w:r w:rsidR="00527049">
        <w:t xml:space="preserve">Meanwhile, the UE may need to monitor SSB for the time-frequency synchronization and RRM measurement purposes. </w:t>
      </w:r>
      <w:r w:rsidR="00CE7A79">
        <w:t xml:space="preserve">In general, </w:t>
      </w:r>
      <w:r w:rsidR="006F7AF9">
        <w:t xml:space="preserve">it is not efficient to always transmit additional SSBs </w:t>
      </w:r>
      <w:r w:rsidR="00E22605">
        <w:t xml:space="preserve">if a DL BWP does not contain an </w:t>
      </w:r>
      <w:proofErr w:type="gramStart"/>
      <w:r w:rsidR="00E22605">
        <w:t>SSB</w:t>
      </w:r>
      <w:proofErr w:type="gramEnd"/>
      <w:r w:rsidR="00332686">
        <w:t xml:space="preserve"> and UE can also relay on RF retuning to acquire legacy SSBs. However, </w:t>
      </w:r>
      <w:r w:rsidR="00D94D06">
        <w:t>in this case, the impacts on the performance and UE complexity/power consumption should also be taken into account.</w:t>
      </w:r>
    </w:p>
    <w:p w14:paraId="40DCE897" w14:textId="4347A01E" w:rsidR="00CE7A79" w:rsidRDefault="00DA10A8" w:rsidP="00DF56B2">
      <w:pPr>
        <w:pStyle w:val="Observation"/>
      </w:pPr>
      <w:bookmarkStart w:id="67" w:name="_Toc87060612"/>
      <w:r w:rsidRPr="00BA01D8">
        <w:t xml:space="preserve">Transmitting additional SSBs </w:t>
      </w:r>
      <w:r>
        <w:t xml:space="preserve">in </w:t>
      </w:r>
      <w:r w:rsidR="006C2AB1">
        <w:t>every</w:t>
      </w:r>
      <w:r w:rsidR="007708DC">
        <w:t xml:space="preserve"> </w:t>
      </w:r>
      <w:r>
        <w:t>DL BWP</w:t>
      </w:r>
      <w:r w:rsidRPr="00BA01D8">
        <w:t xml:space="preserve"> results in significant overhead, increased inter-cell interference, and reduced network energy/spectral efficiency.</w:t>
      </w:r>
      <w:bookmarkEnd w:id="67"/>
      <w:r>
        <w:t xml:space="preserve"> </w:t>
      </w:r>
    </w:p>
    <w:p w14:paraId="2FFED5A1" w14:textId="3DF5D7DB" w:rsidR="00F667B5" w:rsidRDefault="00F667B5" w:rsidP="000355EB">
      <w:pPr>
        <w:pStyle w:val="Observation"/>
      </w:pPr>
      <w:bookmarkStart w:id="68" w:name="_Toc87060613"/>
      <w:r>
        <w:t>I</w:t>
      </w:r>
      <w:r w:rsidRPr="00F667B5">
        <w:t xml:space="preserve">n a 40 MHz TDD carrier with three RedCap-specific DL BWPs, the additional overhead of SSB transmissions can be </w:t>
      </w:r>
      <w:r w:rsidR="001925A8">
        <w:t>around</w:t>
      </w:r>
      <w:r w:rsidRPr="00F667B5">
        <w:t xml:space="preserve"> 6%</w:t>
      </w:r>
      <w:r>
        <w:t>.</w:t>
      </w:r>
      <w:bookmarkEnd w:id="68"/>
    </w:p>
    <w:p w14:paraId="785655CB" w14:textId="50030857" w:rsidR="00014170" w:rsidRDefault="00014170" w:rsidP="000355EB">
      <w:pPr>
        <w:pStyle w:val="Observation"/>
      </w:pPr>
      <w:bookmarkStart w:id="69" w:name="_Toc87060614"/>
      <w:r>
        <w:t xml:space="preserve">In FR2, </w:t>
      </w:r>
      <w:r w:rsidRPr="00014170">
        <w:t xml:space="preserve">considering 64 SSBs per SSB burst, a 20 ms SSB periodicity, and a 50% DL/UL split, the overhead </w:t>
      </w:r>
      <w:r w:rsidR="002F6844">
        <w:t xml:space="preserve">of SSB transmissions </w:t>
      </w:r>
      <w:r w:rsidRPr="00014170">
        <w:t>is over 21%.</w:t>
      </w:r>
      <w:bookmarkEnd w:id="69"/>
      <w:r w:rsidRPr="00014170">
        <w:t xml:space="preserve">   </w:t>
      </w:r>
    </w:p>
    <w:p w14:paraId="31E9D3B0" w14:textId="1300F2A6" w:rsidR="00910EBD" w:rsidRDefault="00910EBD" w:rsidP="000355EB">
      <w:pPr>
        <w:pStyle w:val="Observation"/>
      </w:pPr>
      <w:bookmarkStart w:id="70" w:name="_Toc87060615"/>
      <w:r>
        <w:t>UE may need to relay on SSB for various purposes including time-frequency synchronization and RRM measurements.</w:t>
      </w:r>
      <w:bookmarkEnd w:id="70"/>
    </w:p>
    <w:p w14:paraId="1B36D341" w14:textId="77777777" w:rsidR="00E372FA" w:rsidRDefault="00E372FA" w:rsidP="00E372FA">
      <w:pPr>
        <w:pStyle w:val="Observation"/>
        <w:numPr>
          <w:ilvl w:val="0"/>
          <w:numId w:val="0"/>
        </w:numPr>
        <w:ind w:left="1699"/>
      </w:pPr>
    </w:p>
    <w:p w14:paraId="758F8723" w14:textId="75F201F5" w:rsidR="00E14AD3" w:rsidRDefault="0031578B" w:rsidP="0003457A">
      <w:pPr>
        <w:pStyle w:val="ArialText"/>
      </w:pPr>
      <w:r>
        <w:t>Considering the tradeoff</w:t>
      </w:r>
      <w:r w:rsidR="00E372FA">
        <w:t xml:space="preserve">s pertaining </w:t>
      </w:r>
      <w:r w:rsidR="008C1DD4">
        <w:t xml:space="preserve">to presence of </w:t>
      </w:r>
      <w:r w:rsidR="00E372FA">
        <w:t xml:space="preserve">SSBs </w:t>
      </w:r>
      <w:r w:rsidR="008C1DD4">
        <w:t xml:space="preserve">in </w:t>
      </w:r>
      <w:r w:rsidR="006B5708">
        <w:t xml:space="preserve">RedCap </w:t>
      </w:r>
      <w:r w:rsidR="008C1DD4">
        <w:t>DL BWPs</w:t>
      </w:r>
      <w:r w:rsidR="00E372FA">
        <w:t xml:space="preserve">, </w:t>
      </w:r>
      <w:r w:rsidR="00D94D06">
        <w:t xml:space="preserve">Option 2 </w:t>
      </w:r>
      <w:r w:rsidR="006B5708">
        <w:t xml:space="preserve">(mentioned above) </w:t>
      </w:r>
      <w:r w:rsidR="008C1DD4">
        <w:t>is a reasonable compromise</w:t>
      </w:r>
      <w:r w:rsidR="005C4028">
        <w:t xml:space="preserve"> from </w:t>
      </w:r>
      <w:r w:rsidR="00827E61">
        <w:t xml:space="preserve">the </w:t>
      </w:r>
      <w:r w:rsidR="005C4028">
        <w:t xml:space="preserve">network </w:t>
      </w:r>
      <w:r w:rsidR="0003440C">
        <w:t xml:space="preserve">side </w:t>
      </w:r>
      <w:r w:rsidR="005C4028">
        <w:t xml:space="preserve">and </w:t>
      </w:r>
      <w:r w:rsidR="00827E61">
        <w:t xml:space="preserve">the </w:t>
      </w:r>
      <w:r w:rsidR="005C4028">
        <w:t>UE</w:t>
      </w:r>
      <w:r w:rsidR="0003440C">
        <w:t xml:space="preserve"> side</w:t>
      </w:r>
      <w:r w:rsidR="005C4028">
        <w:t xml:space="preserve"> </w:t>
      </w:r>
      <w:r w:rsidR="0003440C">
        <w:t>perspective</w:t>
      </w:r>
      <w:r w:rsidR="00827E61">
        <w:t>.</w:t>
      </w:r>
      <w:r w:rsidR="00242F32">
        <w:t xml:space="preserve"> </w:t>
      </w:r>
      <w:r w:rsidR="0003457A">
        <w:t>In the following we discuss different scenarios.</w:t>
      </w:r>
      <w:r w:rsidR="00827E61">
        <w:t xml:space="preserve"> </w:t>
      </w:r>
    </w:p>
    <w:p w14:paraId="27A749E7" w14:textId="54504F37" w:rsidR="00DC047A" w:rsidRDefault="00057662" w:rsidP="00057662">
      <w:pPr>
        <w:pStyle w:val="Heading3"/>
      </w:pPr>
      <w:r>
        <w:t>3.3</w:t>
      </w:r>
      <w:r w:rsidR="00DE40C2">
        <w:t>.</w:t>
      </w:r>
      <w:r w:rsidR="009F2608">
        <w:t>1</w:t>
      </w:r>
      <w:r w:rsidR="00DC047A">
        <w:tab/>
      </w:r>
      <w:r w:rsidR="00C75FBB">
        <w:t>Separate i</w:t>
      </w:r>
      <w:r w:rsidR="003853FC">
        <w:t>nitial DL BWP</w:t>
      </w:r>
      <w:r w:rsidR="00CE7968">
        <w:t xml:space="preserve"> for random access</w:t>
      </w:r>
      <w:r w:rsidR="00FD324C">
        <w:t xml:space="preserve"> </w:t>
      </w:r>
      <w:r w:rsidR="005D1348">
        <w:t>but not for paging</w:t>
      </w:r>
    </w:p>
    <w:p w14:paraId="1B429CE9" w14:textId="77777777" w:rsidR="00FD324C" w:rsidRDefault="00FD324C" w:rsidP="003F40AB">
      <w:pPr>
        <w:jc w:val="both"/>
      </w:pPr>
      <w:r>
        <w:t>To avoid PUSCH resource fragmentation for non-RedCap UEs, it is desired to place the UL BWPs used for RedCap UEs near the carrier edge. Then, in TDD, if it is necessary to achieve center frequency alignment the corresponding DL BWPs for RedCap UEs would also need to be placed near the carrier edge.</w:t>
      </w:r>
    </w:p>
    <w:p w14:paraId="658A598E" w14:textId="318C3095" w:rsidR="00FD324C" w:rsidRDefault="00FD324C" w:rsidP="003F40AB">
      <w:pPr>
        <w:jc w:val="both"/>
      </w:pPr>
      <w:r>
        <w:t xml:space="preserve">The above mainly concerns random access and connected mode operation. When the UE is only monitoring paging in idle mode and not transmitting anything in UL, the DL BWP </w:t>
      </w:r>
      <w:r w:rsidR="00536059">
        <w:t>does not</w:t>
      </w:r>
      <w:r>
        <w:t xml:space="preserve"> need to be near the carrier edge. If </w:t>
      </w:r>
      <w:r w:rsidR="003F40AB">
        <w:t xml:space="preserve">for </w:t>
      </w:r>
      <w:r>
        <w:t>every DL BWP that is used for paging</w:t>
      </w:r>
      <w:r w:rsidR="003F40AB">
        <w:t xml:space="preserve"> the network</w:t>
      </w:r>
      <w:r>
        <w:t xml:space="preserve"> needs to constantly transmit SSB, then it may not be preferrable to use a separate DL BWP for paging. Since gNB has no idea whether there are RedCap UEs in the cell that might eventually need to be paged, gNB would be forced to transmit SSB all the time even if there are no RedCap UEs around. This is not an attractive solution, especially not in an initial deployment</w:t>
      </w:r>
      <w:r w:rsidR="003F40AB">
        <w:t xml:space="preserve"> stage</w:t>
      </w:r>
      <w:r>
        <w:t xml:space="preserve"> where th</w:t>
      </w:r>
      <w:r w:rsidR="003F40AB">
        <w:t>e number of</w:t>
      </w:r>
      <w:r>
        <w:t xml:space="preserve"> RedCap UEs </w:t>
      </w:r>
      <w:r w:rsidR="003F40AB">
        <w:t xml:space="preserve">may not be large </w:t>
      </w:r>
      <w:r>
        <w:t>to</w:t>
      </w:r>
      <w:r w:rsidR="003F40AB">
        <w:t xml:space="preserve"> potentially</w:t>
      </w:r>
      <w:r>
        <w:t xml:space="preserve"> motivate this cost on the network side.</w:t>
      </w:r>
    </w:p>
    <w:p w14:paraId="079A7E4C" w14:textId="4470E10C" w:rsidR="00FD324C" w:rsidRDefault="00FD324C" w:rsidP="003F40AB">
      <w:pPr>
        <w:jc w:val="both"/>
      </w:pPr>
      <w:r>
        <w:t xml:space="preserve">If no separate DL BWP is configured for paging and instead the RedCap UE is camping and monitoring paging, e.g., in the center of the carrier together with non-RedCap UEs, the RedCap UE will be able to receive SSB </w:t>
      </w:r>
      <w:r>
        <w:lastRenderedPageBreak/>
        <w:t>there</w:t>
      </w:r>
      <w:r w:rsidR="003F40AB">
        <w:t>. Then,</w:t>
      </w:r>
      <w:r>
        <w:t xml:space="preserve"> once the UE needs to perform random access, it can move to the separate BWPs configured for random access, </w:t>
      </w:r>
      <w:r w:rsidR="003F40AB">
        <w:t xml:space="preserve">and </w:t>
      </w:r>
      <w:r>
        <w:t xml:space="preserve">its latest SSB measurement </w:t>
      </w:r>
      <w:r w:rsidR="003F40AB">
        <w:t>can</w:t>
      </w:r>
      <w:r>
        <w:t xml:space="preserve"> be useful also for random access in the separate BWP for random access.</w:t>
      </w:r>
    </w:p>
    <w:p w14:paraId="2787FD45" w14:textId="77777777" w:rsidR="003926D4" w:rsidRDefault="003926D4" w:rsidP="003F40AB">
      <w:pPr>
        <w:jc w:val="both"/>
      </w:pPr>
    </w:p>
    <w:p w14:paraId="07C8D332" w14:textId="77777777" w:rsidR="0074241C" w:rsidRDefault="003926D4" w:rsidP="0074241C">
      <w:pPr>
        <w:pStyle w:val="ArialText"/>
        <w:keepNext/>
      </w:pPr>
      <w:r>
        <w:rPr>
          <w:noProof/>
        </w:rPr>
        <w:drawing>
          <wp:inline distT="0" distB="0" distL="0" distR="0" wp14:anchorId="142B6366" wp14:editId="6EE6D0C1">
            <wp:extent cx="4852795" cy="2041388"/>
            <wp:effectExtent l="0" t="0" r="508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4893652" cy="2058575"/>
                    </a:xfrm>
                    <a:prstGeom prst="rect">
                      <a:avLst/>
                    </a:prstGeom>
                    <a:noFill/>
                  </pic:spPr>
                </pic:pic>
              </a:graphicData>
            </a:graphic>
          </wp:inline>
        </w:drawing>
      </w:r>
    </w:p>
    <w:p w14:paraId="21C89921" w14:textId="4F6D373C" w:rsidR="00DC047A" w:rsidRDefault="0074241C" w:rsidP="006C17AE">
      <w:pPr>
        <w:pStyle w:val="Caption"/>
        <w:jc w:val="center"/>
      </w:pPr>
      <w:r>
        <w:t xml:space="preserve">Figure </w:t>
      </w:r>
      <w:r>
        <w:fldChar w:fldCharType="begin"/>
      </w:r>
      <w:r>
        <w:instrText xml:space="preserve"> SEQ Figure \* ARABIC </w:instrText>
      </w:r>
      <w:r>
        <w:fldChar w:fldCharType="separate"/>
      </w:r>
      <w:r w:rsidR="007A78E0">
        <w:rPr>
          <w:noProof/>
        </w:rPr>
        <w:t>5</w:t>
      </w:r>
      <w:r>
        <w:fldChar w:fldCharType="end"/>
      </w:r>
      <w:r>
        <w:t>: RedCap uses MIB-configured CORESET #0</w:t>
      </w:r>
      <w:r w:rsidR="008B29E1">
        <w:t>/SSB</w:t>
      </w:r>
      <w:r>
        <w:t xml:space="preserve"> for paging and then switches to a separate initial DL BWP for random access.</w:t>
      </w:r>
    </w:p>
    <w:p w14:paraId="3EC6F8DF" w14:textId="72465A27" w:rsidR="00C31D50" w:rsidRDefault="00C31D50" w:rsidP="00C31D50">
      <w:pPr>
        <w:rPr>
          <w:lang w:eastAsia="en-GB"/>
        </w:rPr>
      </w:pPr>
    </w:p>
    <w:p w14:paraId="29D6AB88" w14:textId="6F27D159" w:rsidR="001557EF" w:rsidRDefault="00297F62" w:rsidP="001557EF">
      <w:pPr>
        <w:pStyle w:val="Observation"/>
      </w:pPr>
      <w:bookmarkStart w:id="71" w:name="_Toc87060616"/>
      <w:r>
        <w:t xml:space="preserve">In inactive/idle mode, the </w:t>
      </w:r>
      <w:r w:rsidR="001557EF">
        <w:t xml:space="preserve">RedCap </w:t>
      </w:r>
      <w:r w:rsidR="006E4D72">
        <w:t>UE</w:t>
      </w:r>
      <w:r w:rsidR="001557EF">
        <w:t xml:space="preserve"> can </w:t>
      </w:r>
      <w:r w:rsidR="002C5401">
        <w:t>rely on</w:t>
      </w:r>
      <w:r w:rsidR="001557EF">
        <w:t xml:space="preserve"> </w:t>
      </w:r>
      <w:r>
        <w:t>the</w:t>
      </w:r>
      <w:r w:rsidR="002C5401">
        <w:t xml:space="preserve"> </w:t>
      </w:r>
      <w:r>
        <w:t>MIB-configured CORESET #0</w:t>
      </w:r>
      <w:r w:rsidR="002C5401">
        <w:t xml:space="preserve"> and </w:t>
      </w:r>
      <w:r w:rsidR="0009588A">
        <w:t xml:space="preserve">legacy </w:t>
      </w:r>
      <w:r w:rsidR="002C5401">
        <w:t xml:space="preserve">SSB </w:t>
      </w:r>
      <w:r>
        <w:t>for paging and then switch to a s</w:t>
      </w:r>
      <w:r w:rsidR="004D59E7">
        <w:t>e</w:t>
      </w:r>
      <w:r>
        <w:t>p</w:t>
      </w:r>
      <w:r w:rsidR="004D59E7">
        <w:t>a</w:t>
      </w:r>
      <w:r>
        <w:t>rate initial DL</w:t>
      </w:r>
      <w:r w:rsidR="000774FF">
        <w:t xml:space="preserve"> BWP for random access.</w:t>
      </w:r>
      <w:bookmarkEnd w:id="71"/>
    </w:p>
    <w:p w14:paraId="530FD44D" w14:textId="2DB6DE62" w:rsidR="00C31D50" w:rsidRPr="00C31D50" w:rsidRDefault="00767950" w:rsidP="00CD498F">
      <w:pPr>
        <w:pStyle w:val="Proposal"/>
      </w:pPr>
      <w:bookmarkStart w:id="72" w:name="_Toc87060640"/>
      <w:r>
        <w:t>If the separate initial DL BWP is configured for random access</w:t>
      </w:r>
      <w:r w:rsidR="009A04D3">
        <w:t xml:space="preserve"> but not for paging</w:t>
      </w:r>
      <w:r>
        <w:t>, then the UE does not expect SSB transmission in the separate initial DL BWP.</w:t>
      </w:r>
      <w:r w:rsidR="002E40C4">
        <w:t xml:space="preserve"> In this case, t</w:t>
      </w:r>
      <w:r>
        <w:t>he network may or may not configure</w:t>
      </w:r>
      <w:r w:rsidR="002E40C4">
        <w:t xml:space="preserve"> an</w:t>
      </w:r>
      <w:r>
        <w:t xml:space="preserve"> SSB</w:t>
      </w:r>
      <w:r w:rsidR="009B30E3">
        <w:t xml:space="preserve"> in the s</w:t>
      </w:r>
      <w:r w:rsidR="004D59E7">
        <w:t>e</w:t>
      </w:r>
      <w:r w:rsidR="009B30E3">
        <w:t>p</w:t>
      </w:r>
      <w:r w:rsidR="004D59E7">
        <w:t>a</w:t>
      </w:r>
      <w:r w:rsidR="009B30E3">
        <w:t>rate initial DL BWP for RedCap</w:t>
      </w:r>
      <w:r>
        <w:t>.</w:t>
      </w:r>
      <w:bookmarkEnd w:id="72"/>
    </w:p>
    <w:p w14:paraId="2F7BFEB9" w14:textId="42E7D6CC" w:rsidR="00F864BE" w:rsidRDefault="00F864BE" w:rsidP="00792F7C">
      <w:pPr>
        <w:pStyle w:val="Proposal"/>
        <w:numPr>
          <w:ilvl w:val="0"/>
          <w:numId w:val="0"/>
        </w:numPr>
      </w:pPr>
    </w:p>
    <w:p w14:paraId="55B80862" w14:textId="740F43BD" w:rsidR="0051697E" w:rsidRDefault="00F864BE" w:rsidP="0051697E">
      <w:pPr>
        <w:pStyle w:val="ArialText"/>
      </w:pPr>
      <w:r>
        <w:t xml:space="preserve">In principle, </w:t>
      </w:r>
      <w:r w:rsidR="003C4705">
        <w:t xml:space="preserve">an </w:t>
      </w:r>
      <w:r>
        <w:t>initial DL BWP can</w:t>
      </w:r>
      <w:r w:rsidR="003C4705">
        <w:t xml:space="preserve"> also</w:t>
      </w:r>
      <w:r>
        <w:t xml:space="preserve"> be used in connected mode. However</w:t>
      </w:r>
      <w:r w:rsidR="00610D29">
        <w:t>,</w:t>
      </w:r>
      <w:r>
        <w:t xml:space="preserve"> f</w:t>
      </w:r>
      <w:r w:rsidRPr="00F864BE">
        <w:t>or BWP#0 configuration option 1,</w:t>
      </w:r>
      <w:r w:rsidR="00331A10">
        <w:t xml:space="preserve"> the initial DL BWP has a limited functionality as it does not have </w:t>
      </w:r>
      <w:r w:rsidR="00331A10" w:rsidRPr="00827F53">
        <w:t>UE-specific configuration</w:t>
      </w:r>
      <w:r w:rsidR="00331A10">
        <w:t xml:space="preserve">s. Hence, UE typically switches to a non-initial RRC-configured DL BWP after initial access. Meanwhile, the initial BWP can act as a default BWP which can be </w:t>
      </w:r>
      <w:r w:rsidR="00B17D30">
        <w:t>used</w:t>
      </w:r>
      <w:r w:rsidR="00331A10">
        <w:t xml:space="preserve"> for the purpose of power saving after the initial access. However, </w:t>
      </w:r>
      <w:r w:rsidR="00B17D30">
        <w:t xml:space="preserve">for RedCap UEs </w:t>
      </w:r>
      <w:r w:rsidR="00B17D30" w:rsidRPr="00B17D30">
        <w:t>the use of initial DL BWP in connected mode</w:t>
      </w:r>
      <w:r w:rsidR="00B17D30">
        <w:t xml:space="preserve"> for power saving purposes</w:t>
      </w:r>
      <w:r w:rsidR="00B17D30" w:rsidRPr="00B17D30">
        <w:t xml:space="preserve"> is quite limited</w:t>
      </w:r>
      <w:r w:rsidR="00B17D30">
        <w:t xml:space="preserve">. This is because the RedCap </w:t>
      </w:r>
      <w:r w:rsidR="00B17D30" w:rsidRPr="00B17D30">
        <w:t>initial DL BWP is almost as large as UE BW</w:t>
      </w:r>
      <w:r w:rsidR="0006006F">
        <w:t xml:space="preserve"> (e.g., 20 MHz in FR1)</w:t>
      </w:r>
      <w:r w:rsidR="00B17D30" w:rsidRPr="00B17D30">
        <w:t xml:space="preserve">, </w:t>
      </w:r>
      <w:r w:rsidR="00B17D30">
        <w:t>and thus the</w:t>
      </w:r>
      <w:r w:rsidR="00B17D30" w:rsidRPr="00B17D30">
        <w:t xml:space="preserve"> power saving gain by switching to</w:t>
      </w:r>
      <w:r w:rsidR="00B17D30">
        <w:t xml:space="preserve"> the DL</w:t>
      </w:r>
      <w:r w:rsidR="00B17D30" w:rsidRPr="00B17D30">
        <w:t xml:space="preserve"> initial BWP is</w:t>
      </w:r>
      <w:r w:rsidR="00143E30">
        <w:t xml:space="preserve"> </w:t>
      </w:r>
      <w:r w:rsidR="0006006F">
        <w:t>small. For non-RedCap UEs with a large BW</w:t>
      </w:r>
      <w:r w:rsidR="0039010C">
        <w:t xml:space="preserve"> (e.g., 100 MHz)</w:t>
      </w:r>
      <w:r w:rsidR="0006006F">
        <w:t>,</w:t>
      </w:r>
      <w:r w:rsidR="00A4350F">
        <w:t xml:space="preserve"> the is </w:t>
      </w:r>
      <w:r w:rsidR="00063B6D">
        <w:t xml:space="preserve">more motivation to switch </w:t>
      </w:r>
      <w:r w:rsidR="0039010C">
        <w:t>to a</w:t>
      </w:r>
      <w:r w:rsidR="00063B6D">
        <w:t xml:space="preserve"> significantly smaller initial DL BWP for power saving</w:t>
      </w:r>
      <w:r w:rsidR="0039010C">
        <w:t>.</w:t>
      </w:r>
      <w:r w:rsidR="002C039E">
        <w:t xml:space="preserve"> </w:t>
      </w:r>
      <w:r w:rsidR="006842F3">
        <w:t xml:space="preserve"> </w:t>
      </w:r>
    </w:p>
    <w:p w14:paraId="12993A76" w14:textId="156E8AD0" w:rsidR="0039010C" w:rsidRDefault="0039010C" w:rsidP="0039010C">
      <w:pPr>
        <w:pStyle w:val="Observation"/>
      </w:pPr>
      <w:bookmarkStart w:id="73" w:name="_Toc87060617"/>
      <w:r>
        <w:t>F</w:t>
      </w:r>
      <w:r w:rsidRPr="00F864BE">
        <w:t>or BWP#0 configuration option 1</w:t>
      </w:r>
      <w:r>
        <w:t>, the use of initial DL BWP in connected mode is quite limited</w:t>
      </w:r>
      <w:r w:rsidR="00F770C8">
        <w:t xml:space="preserve"> from both functionality and power saving perspectives.</w:t>
      </w:r>
      <w:bookmarkEnd w:id="73"/>
    </w:p>
    <w:p w14:paraId="4124251A" w14:textId="34E0BCF1" w:rsidR="00FC62E5" w:rsidRDefault="00FC62E5" w:rsidP="00FC62E5">
      <w:pPr>
        <w:pStyle w:val="Observation"/>
        <w:numPr>
          <w:ilvl w:val="0"/>
          <w:numId w:val="0"/>
        </w:numPr>
      </w:pPr>
    </w:p>
    <w:p w14:paraId="2FC5C107" w14:textId="214A762B" w:rsidR="00145EF4" w:rsidRDefault="002E5544" w:rsidP="00145EF4">
      <w:pPr>
        <w:pStyle w:val="ArialText"/>
      </w:pPr>
      <w:r>
        <w:t>F</w:t>
      </w:r>
      <w:r w:rsidR="00145EF4" w:rsidRPr="008B27D9">
        <w:t>or BWP#0 configuration option 1</w:t>
      </w:r>
      <w:r w:rsidR="00145EF4">
        <w:t xml:space="preserve">, since the initial DL BWP is rarely used in the connected </w:t>
      </w:r>
      <w:proofErr w:type="gramStart"/>
      <w:r w:rsidR="00145EF4">
        <w:t>mode,  there</w:t>
      </w:r>
      <w:proofErr w:type="gramEnd"/>
      <w:r w:rsidR="00145EF4">
        <w:t xml:space="preserve"> is no need to transmit additional SSBs.</w:t>
      </w:r>
      <w:r w:rsidR="00393309">
        <w:t xml:space="preserve"> In this case, </w:t>
      </w:r>
      <w:r w:rsidR="007B73A5">
        <w:t xml:space="preserve">the potential impact </w:t>
      </w:r>
      <w:r w:rsidR="00CA184E">
        <w:t xml:space="preserve">on </w:t>
      </w:r>
      <w:r w:rsidR="00393309">
        <w:t xml:space="preserve">the RedCap UE </w:t>
      </w:r>
      <w:r w:rsidR="00E41A7C">
        <w:t xml:space="preserve">if SSB is not present is </w:t>
      </w:r>
      <w:r w:rsidR="00CB4F67">
        <w:t>small</w:t>
      </w:r>
      <w:r w:rsidR="00145EF4">
        <w:t xml:space="preserve"> </w:t>
      </w:r>
      <w:r w:rsidR="00CB4F67">
        <w:t xml:space="preserve">and the UE </w:t>
      </w:r>
      <w:r w:rsidR="00F6380D">
        <w:t>c</w:t>
      </w:r>
      <w:r w:rsidR="00CB4F67">
        <w:t xml:space="preserve">an rely on </w:t>
      </w:r>
      <w:r w:rsidR="0008525B">
        <w:t xml:space="preserve">the </w:t>
      </w:r>
      <w:r w:rsidR="00CB4F67">
        <w:t>RF-retuning</w:t>
      </w:r>
      <w:r w:rsidR="00E06B51">
        <w:t xml:space="preserve"> </w:t>
      </w:r>
      <w:r w:rsidR="008D5573">
        <w:t xml:space="preserve">to CD-SSB </w:t>
      </w:r>
      <w:r w:rsidR="00E06B51">
        <w:t>(which might be rarely needed)</w:t>
      </w:r>
      <w:r w:rsidR="00F6380D">
        <w:t>.</w:t>
      </w:r>
    </w:p>
    <w:p w14:paraId="508AE5DC" w14:textId="77777777" w:rsidR="00145EF4" w:rsidRDefault="00145EF4" w:rsidP="00145EF4">
      <w:pPr>
        <w:pStyle w:val="Proposal"/>
      </w:pPr>
      <w:bookmarkStart w:id="74" w:name="_Toc86927303"/>
      <w:bookmarkStart w:id="75" w:name="_Toc87060641"/>
      <w:r>
        <w:t>F</w:t>
      </w:r>
      <w:r w:rsidRPr="00F864BE">
        <w:t>or BWP#0 configuration option 1</w:t>
      </w:r>
      <w:r>
        <w:t>, if the separate initial DL BWP is configured for random access but not for paging, then the UE does not expect SSB transmission in the separate initial DL BWP in RRC idle/inactive/connected states.</w:t>
      </w:r>
      <w:bookmarkEnd w:id="74"/>
      <w:bookmarkEnd w:id="75"/>
    </w:p>
    <w:p w14:paraId="260727C2" w14:textId="77777777" w:rsidR="00145EF4" w:rsidRDefault="00145EF4" w:rsidP="00FC62E5">
      <w:pPr>
        <w:pStyle w:val="Observation"/>
        <w:numPr>
          <w:ilvl w:val="0"/>
          <w:numId w:val="0"/>
        </w:numPr>
      </w:pPr>
    </w:p>
    <w:p w14:paraId="56BC4316" w14:textId="2B3D270B" w:rsidR="00464332" w:rsidRDefault="00DE40C2" w:rsidP="00DE40C2">
      <w:pPr>
        <w:pStyle w:val="Heading3"/>
      </w:pPr>
      <w:r>
        <w:lastRenderedPageBreak/>
        <w:t>3</w:t>
      </w:r>
      <w:r w:rsidR="00626976">
        <w:t>.</w:t>
      </w:r>
      <w:r w:rsidR="00F65B16">
        <w:t>3</w:t>
      </w:r>
      <w:r>
        <w:t>.</w:t>
      </w:r>
      <w:r w:rsidR="009F2608">
        <w:t>2</w:t>
      </w:r>
      <w:r w:rsidR="00626976">
        <w:tab/>
        <w:t xml:space="preserve">Separate initial DL BWP </w:t>
      </w:r>
      <w:r w:rsidR="00CE7968">
        <w:t>for paging and random access</w:t>
      </w:r>
    </w:p>
    <w:p w14:paraId="19C3B239" w14:textId="6224825E" w:rsidR="00D82C4A" w:rsidRDefault="00464332" w:rsidP="00147A6A">
      <w:pPr>
        <w:pStyle w:val="ArialText"/>
      </w:pPr>
      <w:r>
        <w:t xml:space="preserve">In case the separate initial DL BWP </w:t>
      </w:r>
      <w:r w:rsidR="00567380">
        <w:t xml:space="preserve">is used for both paging and random access, </w:t>
      </w:r>
      <w:r w:rsidR="00A272CC">
        <w:t>the UE can rely on RF retuning to</w:t>
      </w:r>
      <w:r w:rsidR="00D82C4A">
        <w:t xml:space="preserve"> acquire an SSB when it is not</w:t>
      </w:r>
      <w:r w:rsidR="00A272CC">
        <w:t xml:space="preserve"> present</w:t>
      </w:r>
      <w:r w:rsidR="00D82C4A">
        <w:t xml:space="preserve"> in the separate initial DL BWP</w:t>
      </w:r>
      <w:r w:rsidR="00A272CC">
        <w:t>. F</w:t>
      </w:r>
      <w:r w:rsidR="00D82C4A">
        <w:t xml:space="preserve">or example, during </w:t>
      </w:r>
      <w:r w:rsidR="00D82C4A" w:rsidRPr="00816027">
        <w:t>DRX inactive</w:t>
      </w:r>
      <w:r w:rsidR="00F954C1">
        <w:t xml:space="preserve"> </w:t>
      </w:r>
      <w:r w:rsidR="00F954C1" w:rsidRPr="00816027">
        <w:t>time</w:t>
      </w:r>
      <w:r w:rsidR="00F954C1">
        <w:t xml:space="preserve">s, the RedCap UE can </w:t>
      </w:r>
      <w:r w:rsidR="00907926">
        <w:t>retune to the legacy SSB</w:t>
      </w:r>
      <w:r w:rsidR="006478A7">
        <w:t xml:space="preserve"> for time-frequency tracking and RRM measurements</w:t>
      </w:r>
      <w:r w:rsidR="00577054">
        <w:t xml:space="preserve"> then retune back to the initial DL BWP</w:t>
      </w:r>
      <w:r w:rsidR="00D82C4A" w:rsidRPr="00816027">
        <w:t xml:space="preserve"> </w:t>
      </w:r>
      <w:r w:rsidR="00D82C4A">
        <w:t xml:space="preserve">to avoid any interruption during </w:t>
      </w:r>
      <w:r w:rsidR="00D82C4A">
        <w:rPr>
          <w:rFonts w:eastAsia="Times New Roman"/>
        </w:rPr>
        <w:t>DRX ON periods</w:t>
      </w:r>
      <w:r w:rsidR="00D82C4A">
        <w:t>.</w:t>
      </w:r>
      <w:r w:rsidR="00E01587">
        <w:t xml:space="preserve"> In this case, it can be ensured that </w:t>
      </w:r>
      <w:r w:rsidR="005C34CC">
        <w:t>the UE does not miss paging.</w:t>
      </w:r>
      <w:r w:rsidR="00336D7B">
        <w:t xml:space="preserve"> </w:t>
      </w:r>
      <w:r w:rsidR="00656444">
        <w:t xml:space="preserve">The </w:t>
      </w:r>
      <w:r w:rsidR="00CB3239">
        <w:t xml:space="preserve">network can provide </w:t>
      </w:r>
      <w:r w:rsidR="00625CED">
        <w:t>SSB</w:t>
      </w:r>
      <w:r w:rsidR="00625CED" w:rsidRPr="00625CED">
        <w:t xml:space="preserve"> measurement timing configuration (SMTC) compris</w:t>
      </w:r>
      <w:r w:rsidR="00CB3239">
        <w:t>ing</w:t>
      </w:r>
      <w:r w:rsidR="00625CED" w:rsidRPr="00625CED">
        <w:t xml:space="preserve"> </w:t>
      </w:r>
      <w:r w:rsidR="00656444">
        <w:t xml:space="preserve">various </w:t>
      </w:r>
      <w:r w:rsidR="00625CED" w:rsidRPr="00625CED">
        <w:t>parameters such as SMTC periodicity</w:t>
      </w:r>
      <w:r w:rsidR="00656444">
        <w:t xml:space="preserve"> which can be {</w:t>
      </w:r>
      <w:r w:rsidR="00656444" w:rsidRPr="00625CED">
        <w:t>5 ms, 10 ms, 20 ms, 40 ms, 80 ms</w:t>
      </w:r>
      <w:r w:rsidR="00656444">
        <w:t xml:space="preserve">, </w:t>
      </w:r>
      <w:r w:rsidR="00656444" w:rsidRPr="00625CED">
        <w:t>160 ms</w:t>
      </w:r>
      <w:r w:rsidR="00656444">
        <w:t>}</w:t>
      </w:r>
      <w:r w:rsidR="00625CED" w:rsidRPr="00625CED">
        <w:t xml:space="preserve">. </w:t>
      </w:r>
      <w:r w:rsidR="00B45F46">
        <w:t xml:space="preserve">With proper configuration of </w:t>
      </w:r>
      <w:r w:rsidR="00B75636">
        <w:t>DRX cycle</w:t>
      </w:r>
      <w:r w:rsidR="00147A6A">
        <w:t xml:space="preserve"> (e.g., long DRX)</w:t>
      </w:r>
      <w:r w:rsidR="00B75636">
        <w:t xml:space="preserve"> and </w:t>
      </w:r>
      <w:r w:rsidR="00820966" w:rsidRPr="00625CED">
        <w:t>SMTC periodicity</w:t>
      </w:r>
      <w:r w:rsidR="005861C5">
        <w:t xml:space="preserve"> (e.g., small periodicity)</w:t>
      </w:r>
      <w:r w:rsidR="00B45F46">
        <w:t xml:space="preserve">, the </w:t>
      </w:r>
      <w:r w:rsidR="00F22097">
        <w:t xml:space="preserve">RedCap </w:t>
      </w:r>
      <w:r w:rsidR="00B45F46">
        <w:t>UE can</w:t>
      </w:r>
      <w:r w:rsidR="005861C5">
        <w:t xml:space="preserve"> have sufficient time and flexibility to</w:t>
      </w:r>
      <w:r w:rsidR="00B45F46">
        <w:t xml:space="preserve"> </w:t>
      </w:r>
      <w:r w:rsidR="002D5AA3">
        <w:t>acquire the legacy SSB</w:t>
      </w:r>
      <w:r w:rsidR="00147A6A">
        <w:t xml:space="preserve"> </w:t>
      </w:r>
      <w:r w:rsidR="00F22097">
        <w:t xml:space="preserve">located </w:t>
      </w:r>
      <w:r w:rsidR="00147A6A">
        <w:t>outsi</w:t>
      </w:r>
      <w:r w:rsidR="00F22097">
        <w:t>de its initial DL BWP</w:t>
      </w:r>
      <w:r w:rsidR="00147A6A">
        <w:t xml:space="preserve">. </w:t>
      </w:r>
      <w:r w:rsidR="00D82C4A">
        <w:t xml:space="preserve">Therefore, depending on the SSB </w:t>
      </w:r>
      <w:r w:rsidR="00265231">
        <w:t>monitoring</w:t>
      </w:r>
      <w:r w:rsidR="00D82C4A">
        <w:t xml:space="preserve"> periodicity and the DRX </w:t>
      </w:r>
      <w:r w:rsidR="00AA3C62">
        <w:t>cycle, additional</w:t>
      </w:r>
      <w:r w:rsidR="00D82C4A">
        <w:t xml:space="preserve"> SSBs are not required to be transmitted in the separate initial DL BWP for RedCap.</w:t>
      </w:r>
    </w:p>
    <w:p w14:paraId="44720223" w14:textId="77777777" w:rsidR="00AD19B1" w:rsidRDefault="00AD19B1" w:rsidP="00AA3C62">
      <w:pPr>
        <w:pStyle w:val="ArialText"/>
        <w:keepNext/>
        <w:jc w:val="center"/>
      </w:pPr>
      <w:r>
        <w:rPr>
          <w:noProof/>
        </w:rPr>
        <w:drawing>
          <wp:inline distT="0" distB="0" distL="0" distR="0" wp14:anchorId="2A798D14" wp14:editId="52E2D2E6">
            <wp:extent cx="4802864" cy="1787264"/>
            <wp:effectExtent l="0" t="0" r="0" b="381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4876677" cy="1814732"/>
                    </a:xfrm>
                    <a:prstGeom prst="rect">
                      <a:avLst/>
                    </a:prstGeom>
                    <a:noFill/>
                  </pic:spPr>
                </pic:pic>
              </a:graphicData>
            </a:graphic>
          </wp:inline>
        </w:drawing>
      </w:r>
    </w:p>
    <w:p w14:paraId="09F57264" w14:textId="56CFC5E8" w:rsidR="00C50F28" w:rsidRDefault="00AD19B1" w:rsidP="00AA3C62">
      <w:pPr>
        <w:pStyle w:val="Caption"/>
        <w:jc w:val="center"/>
      </w:pPr>
      <w:r>
        <w:t xml:space="preserve">Figure </w:t>
      </w:r>
      <w:r>
        <w:fldChar w:fldCharType="begin"/>
      </w:r>
      <w:r>
        <w:instrText xml:space="preserve"> SEQ Figure \* ARABIC </w:instrText>
      </w:r>
      <w:r>
        <w:fldChar w:fldCharType="separate"/>
      </w:r>
      <w:r w:rsidR="007A78E0">
        <w:rPr>
          <w:noProof/>
        </w:rPr>
        <w:t>6</w:t>
      </w:r>
      <w:r>
        <w:fldChar w:fldCharType="end"/>
      </w:r>
      <w:r>
        <w:t>: RedCap acquiring legacy SSB during DRX inactive time</w:t>
      </w:r>
    </w:p>
    <w:p w14:paraId="5A245FCC" w14:textId="407BEE6D" w:rsidR="00AD19B1" w:rsidRDefault="00AD19B1" w:rsidP="00D82C4A">
      <w:pPr>
        <w:pStyle w:val="ArialText"/>
      </w:pPr>
    </w:p>
    <w:p w14:paraId="23379AFA" w14:textId="2DAA2F02" w:rsidR="00C50F28" w:rsidRDefault="002706ED" w:rsidP="00C50F28">
      <w:pPr>
        <w:pStyle w:val="Observation"/>
      </w:pPr>
      <w:bookmarkStart w:id="76" w:name="_Toc87060618"/>
      <w:r>
        <w:t>In case the s</w:t>
      </w:r>
      <w:r w:rsidR="00337744">
        <w:t>e</w:t>
      </w:r>
      <w:r>
        <w:t>p</w:t>
      </w:r>
      <w:r w:rsidR="00337744">
        <w:t>a</w:t>
      </w:r>
      <w:r>
        <w:t xml:space="preserve">rate initial DL BWP is used for both paging and random access, </w:t>
      </w:r>
      <w:r w:rsidR="00FC1159">
        <w:t>the RedCap UE can rely on RF retuning to acquire legacy SSB during DRX inactive time.</w:t>
      </w:r>
      <w:bookmarkEnd w:id="76"/>
    </w:p>
    <w:p w14:paraId="0398FBAB" w14:textId="74B7460F" w:rsidR="00D82C4A" w:rsidRPr="00BA01D8" w:rsidRDefault="00D82C4A" w:rsidP="00D82C4A">
      <w:pPr>
        <w:pStyle w:val="Proposal"/>
      </w:pPr>
      <w:bookmarkStart w:id="77" w:name="_Toc87060642"/>
      <w:r w:rsidRPr="00247C74">
        <w:t xml:space="preserve">Whether </w:t>
      </w:r>
      <w:r>
        <w:t>the network configures an additional SSB</w:t>
      </w:r>
      <w:r w:rsidRPr="00247C74">
        <w:t xml:space="preserve"> </w:t>
      </w:r>
      <w:r>
        <w:t>to be</w:t>
      </w:r>
      <w:r w:rsidRPr="00247C74">
        <w:t xml:space="preserve"> transmitted </w:t>
      </w:r>
      <w:r>
        <w:t>in the separate initial DL BWP for RedCap should be based on the SSB</w:t>
      </w:r>
      <w:r w:rsidR="00701570">
        <w:t xml:space="preserve"> monitoring</w:t>
      </w:r>
      <w:r>
        <w:t xml:space="preserve"> periodicity</w:t>
      </w:r>
      <w:r w:rsidR="00F22097">
        <w:t xml:space="preserve"> (i.e., SMTC configuration)</w:t>
      </w:r>
      <w:r>
        <w:t xml:space="preserve"> and the DRX cycle.</w:t>
      </w:r>
      <w:bookmarkEnd w:id="77"/>
      <w:r w:rsidR="00701570">
        <w:t xml:space="preserve"> </w:t>
      </w:r>
    </w:p>
    <w:p w14:paraId="623C8D28" w14:textId="771AC2CC" w:rsidR="002C2C66" w:rsidRDefault="004A5F00" w:rsidP="004A5F00">
      <w:pPr>
        <w:pStyle w:val="Proposal"/>
        <w:rPr>
          <w:lang w:val="en-GB"/>
        </w:rPr>
      </w:pPr>
      <w:bookmarkStart w:id="78" w:name="_Toc87060643"/>
      <w:r>
        <w:rPr>
          <w:lang w:val="en-GB"/>
        </w:rPr>
        <w:t xml:space="preserve">In TDD, whether </w:t>
      </w:r>
      <w:r w:rsidR="00936F25">
        <w:rPr>
          <w:lang w:val="en-GB"/>
        </w:rPr>
        <w:t xml:space="preserve">an </w:t>
      </w:r>
      <w:r>
        <w:rPr>
          <w:lang w:val="en-GB"/>
        </w:rPr>
        <w:t xml:space="preserve">additional SSB </w:t>
      </w:r>
      <w:r w:rsidR="00337744">
        <w:rPr>
          <w:lang w:val="en-GB"/>
        </w:rPr>
        <w:t xml:space="preserve">is </w:t>
      </w:r>
      <w:r>
        <w:rPr>
          <w:lang w:val="en-GB"/>
        </w:rPr>
        <w:t>transmitted in a s</w:t>
      </w:r>
      <w:r w:rsidR="00337744">
        <w:rPr>
          <w:lang w:val="en-GB"/>
        </w:rPr>
        <w:t>e</w:t>
      </w:r>
      <w:r>
        <w:rPr>
          <w:lang w:val="en-GB"/>
        </w:rPr>
        <w:t>p</w:t>
      </w:r>
      <w:r w:rsidR="00337744">
        <w:rPr>
          <w:lang w:val="en-GB"/>
        </w:rPr>
        <w:t>a</w:t>
      </w:r>
      <w:r>
        <w:rPr>
          <w:lang w:val="en-GB"/>
        </w:rPr>
        <w:t>rate initial DL BWP for RedCap,</w:t>
      </w:r>
      <w:r w:rsidR="00936F25">
        <w:rPr>
          <w:lang w:val="en-GB"/>
        </w:rPr>
        <w:t xml:space="preserve"> is based on the following conditions:</w:t>
      </w:r>
      <w:bookmarkEnd w:id="78"/>
    </w:p>
    <w:p w14:paraId="5A4C429F" w14:textId="618F024D" w:rsidR="001164D2" w:rsidRDefault="00936F25" w:rsidP="001925A8">
      <w:pPr>
        <w:pStyle w:val="Proposal"/>
        <w:numPr>
          <w:ilvl w:val="0"/>
          <w:numId w:val="21"/>
        </w:numPr>
        <w:rPr>
          <w:lang w:val="en-GB"/>
        </w:rPr>
      </w:pPr>
      <w:bookmarkStart w:id="79" w:name="_Toc83986570"/>
      <w:bookmarkStart w:id="80" w:name="_Toc87060644"/>
      <w:r>
        <w:rPr>
          <w:lang w:val="en-GB"/>
        </w:rPr>
        <w:t xml:space="preserve">Additional SSBs </w:t>
      </w:r>
      <w:r w:rsidR="007D19C8">
        <w:rPr>
          <w:lang w:val="en-GB"/>
        </w:rPr>
        <w:t>may</w:t>
      </w:r>
      <w:r>
        <w:rPr>
          <w:lang w:val="en-GB"/>
        </w:rPr>
        <w:t xml:space="preserve"> </w:t>
      </w:r>
      <w:r w:rsidR="00162C03">
        <w:rPr>
          <w:lang w:val="en-GB"/>
        </w:rPr>
        <w:t xml:space="preserve">or </w:t>
      </w:r>
      <w:r w:rsidR="007D19C8">
        <w:rPr>
          <w:lang w:val="en-GB"/>
        </w:rPr>
        <w:t>may</w:t>
      </w:r>
      <w:r>
        <w:rPr>
          <w:lang w:val="en-GB"/>
        </w:rPr>
        <w:t xml:space="preserve"> not </w:t>
      </w:r>
      <w:r w:rsidR="007D19C8">
        <w:rPr>
          <w:lang w:val="en-GB"/>
        </w:rPr>
        <w:t xml:space="preserve">be </w:t>
      </w:r>
      <w:r>
        <w:rPr>
          <w:lang w:val="en-GB"/>
        </w:rPr>
        <w:t>transmitted if</w:t>
      </w:r>
      <w:r w:rsidR="001164D2">
        <w:rPr>
          <w:lang w:val="en-GB"/>
        </w:rPr>
        <w:t xml:space="preserve"> DRX cycle </w:t>
      </w:r>
      <w:r w:rsidR="00B73F22">
        <w:rPr>
          <w:rFonts w:cs="Arial"/>
          <w:lang w:val="en-GB"/>
        </w:rPr>
        <w:t>≥</w:t>
      </w:r>
      <w:r w:rsidR="001164D2">
        <w:rPr>
          <w:lang w:val="en-GB"/>
        </w:rPr>
        <w:t xml:space="preserve"> T1 (e.g., </w:t>
      </w:r>
      <w:r w:rsidR="00B73F22">
        <w:rPr>
          <w:lang w:val="en-GB"/>
        </w:rPr>
        <w:t>1280</w:t>
      </w:r>
      <w:r w:rsidR="00B801F0">
        <w:rPr>
          <w:lang w:val="en-GB"/>
        </w:rPr>
        <w:t xml:space="preserve"> ms</w:t>
      </w:r>
      <w:r w:rsidR="001164D2">
        <w:rPr>
          <w:lang w:val="en-GB"/>
        </w:rPr>
        <w:t>)</w:t>
      </w:r>
      <w:bookmarkEnd w:id="79"/>
      <w:bookmarkEnd w:id="80"/>
    </w:p>
    <w:p w14:paraId="1A8A92A3" w14:textId="21D34BDC" w:rsidR="00B801F0" w:rsidRPr="001164D2" w:rsidRDefault="00B801F0" w:rsidP="001925A8">
      <w:pPr>
        <w:pStyle w:val="Proposal"/>
        <w:numPr>
          <w:ilvl w:val="0"/>
          <w:numId w:val="21"/>
        </w:numPr>
        <w:rPr>
          <w:lang w:val="en-GB"/>
        </w:rPr>
      </w:pPr>
      <w:bookmarkStart w:id="81" w:name="_Toc83986571"/>
      <w:bookmarkStart w:id="82" w:name="_Toc87060645"/>
      <w:r>
        <w:rPr>
          <w:lang w:val="en-GB"/>
        </w:rPr>
        <w:t xml:space="preserve">Additional SSBs </w:t>
      </w:r>
      <w:r w:rsidR="007D19C8">
        <w:rPr>
          <w:lang w:val="en-GB"/>
        </w:rPr>
        <w:t xml:space="preserve">may </w:t>
      </w:r>
      <w:r w:rsidR="00162C03">
        <w:rPr>
          <w:lang w:val="en-GB"/>
        </w:rPr>
        <w:t xml:space="preserve">or </w:t>
      </w:r>
      <w:r w:rsidR="007D19C8">
        <w:rPr>
          <w:lang w:val="en-GB"/>
        </w:rPr>
        <w:t xml:space="preserve">may not be </w:t>
      </w:r>
      <w:r>
        <w:rPr>
          <w:lang w:val="en-GB"/>
        </w:rPr>
        <w:t>transmitted if SMTC</w:t>
      </w:r>
      <w:r w:rsidR="00B73F22">
        <w:rPr>
          <w:lang w:val="en-GB"/>
        </w:rPr>
        <w:t xml:space="preserve"> periodicity</w:t>
      </w:r>
      <w:r>
        <w:rPr>
          <w:lang w:val="en-GB"/>
        </w:rPr>
        <w:t xml:space="preserve"> </w:t>
      </w:r>
      <w:r w:rsidR="00B73F22">
        <w:rPr>
          <w:rFonts w:cs="Arial"/>
          <w:lang w:val="en-GB"/>
        </w:rPr>
        <w:t>≤</w:t>
      </w:r>
      <w:r>
        <w:rPr>
          <w:lang w:val="en-GB"/>
        </w:rPr>
        <w:t xml:space="preserve"> T2 (e.g., </w:t>
      </w:r>
      <w:r w:rsidR="00B73F22">
        <w:rPr>
          <w:lang w:val="en-GB"/>
        </w:rPr>
        <w:t>20</w:t>
      </w:r>
      <w:r>
        <w:rPr>
          <w:lang w:val="en-GB"/>
        </w:rPr>
        <w:t xml:space="preserve"> ms)</w:t>
      </w:r>
      <w:bookmarkEnd w:id="81"/>
      <w:bookmarkEnd w:id="82"/>
    </w:p>
    <w:p w14:paraId="34A434CE" w14:textId="70194DB7" w:rsidR="00B801F0" w:rsidRDefault="00B73F22" w:rsidP="001925A8">
      <w:pPr>
        <w:pStyle w:val="Proposal"/>
        <w:numPr>
          <w:ilvl w:val="0"/>
          <w:numId w:val="21"/>
        </w:numPr>
        <w:rPr>
          <w:lang w:val="en-GB"/>
        </w:rPr>
      </w:pPr>
      <w:bookmarkStart w:id="83" w:name="_Toc83986572"/>
      <w:bookmarkStart w:id="84" w:name="_Toc87060646"/>
      <w:r>
        <w:rPr>
          <w:lang w:val="en-GB"/>
        </w:rPr>
        <w:t xml:space="preserve">Additional SSBs </w:t>
      </w:r>
      <w:r w:rsidR="007D19C8">
        <w:rPr>
          <w:lang w:val="en-GB"/>
        </w:rPr>
        <w:t xml:space="preserve">may </w:t>
      </w:r>
      <w:r w:rsidR="00162C03">
        <w:rPr>
          <w:lang w:val="en-GB"/>
        </w:rPr>
        <w:t xml:space="preserve">or </w:t>
      </w:r>
      <w:r w:rsidR="007D19C8">
        <w:rPr>
          <w:lang w:val="en-GB"/>
        </w:rPr>
        <w:t xml:space="preserve">may not be </w:t>
      </w:r>
      <w:r>
        <w:rPr>
          <w:lang w:val="en-GB"/>
        </w:rPr>
        <w:t>transmitted if SMTC periodicity</w:t>
      </w:r>
      <w:r w:rsidR="00F626AC">
        <w:rPr>
          <w:lang w:val="en-GB"/>
        </w:rPr>
        <w:t xml:space="preserve"> </w:t>
      </w:r>
      <w:r w:rsidR="00F626AC">
        <w:rPr>
          <w:rFonts w:cs="Arial"/>
          <w:lang w:val="en-GB"/>
        </w:rPr>
        <w:t>≤</w:t>
      </w:r>
      <w:r w:rsidR="00F626AC">
        <w:rPr>
          <w:lang w:val="en-GB"/>
        </w:rPr>
        <w:t xml:space="preserve"> T3 and DRX cycle </w:t>
      </w:r>
      <w:r w:rsidR="00F626AC">
        <w:rPr>
          <w:rFonts w:cs="Arial"/>
          <w:lang w:val="en-GB"/>
        </w:rPr>
        <w:t>≥</w:t>
      </w:r>
      <w:r w:rsidR="00F626AC">
        <w:rPr>
          <w:lang w:val="en-GB"/>
        </w:rPr>
        <w:t xml:space="preserve"> T4 (e.g.,</w:t>
      </w:r>
      <w:r w:rsidR="00F626AC" w:rsidRPr="00F626AC">
        <w:rPr>
          <w:lang w:val="en-GB"/>
        </w:rPr>
        <w:t xml:space="preserve"> </w:t>
      </w:r>
      <w:r w:rsidR="00F626AC">
        <w:rPr>
          <w:lang w:val="en-GB"/>
        </w:rPr>
        <w:t xml:space="preserve">T3 = </w:t>
      </w:r>
      <w:r w:rsidR="007D19C8">
        <w:rPr>
          <w:lang w:val="en-GB"/>
        </w:rPr>
        <w:t>40 ms</w:t>
      </w:r>
      <w:r w:rsidR="00F626AC">
        <w:rPr>
          <w:lang w:val="en-GB"/>
        </w:rPr>
        <w:t>, T4=</w:t>
      </w:r>
      <w:r w:rsidR="007D19C8">
        <w:rPr>
          <w:lang w:val="en-GB"/>
        </w:rPr>
        <w:t xml:space="preserve"> 640 ms</w:t>
      </w:r>
      <w:r w:rsidR="00F626AC">
        <w:rPr>
          <w:lang w:val="en-GB"/>
        </w:rPr>
        <w:t>)</w:t>
      </w:r>
      <w:bookmarkEnd w:id="83"/>
      <w:bookmarkEnd w:id="84"/>
    </w:p>
    <w:p w14:paraId="01E40A16" w14:textId="62C21CDF" w:rsidR="002C2C66" w:rsidRDefault="007D19C8" w:rsidP="001925A8">
      <w:pPr>
        <w:pStyle w:val="Proposal"/>
        <w:numPr>
          <w:ilvl w:val="0"/>
          <w:numId w:val="21"/>
        </w:numPr>
        <w:rPr>
          <w:lang w:val="en-GB"/>
        </w:rPr>
      </w:pPr>
      <w:bookmarkStart w:id="85" w:name="_Toc83986573"/>
      <w:bookmarkStart w:id="86" w:name="_Toc87060647"/>
      <w:r>
        <w:rPr>
          <w:lang w:val="en-GB"/>
        </w:rPr>
        <w:t>Otherwise, additional SSBs are transmitted.</w:t>
      </w:r>
      <w:bookmarkEnd w:id="85"/>
      <w:bookmarkEnd w:id="86"/>
    </w:p>
    <w:p w14:paraId="12493020" w14:textId="77777777" w:rsidR="004E4A74" w:rsidRPr="00792F7C" w:rsidRDefault="004E4A74" w:rsidP="004E4A74">
      <w:pPr>
        <w:pStyle w:val="Proposal"/>
        <w:numPr>
          <w:ilvl w:val="0"/>
          <w:numId w:val="0"/>
        </w:numPr>
        <w:ind w:left="1304" w:hanging="1304"/>
        <w:rPr>
          <w:lang w:val="en-GB"/>
        </w:rPr>
      </w:pPr>
    </w:p>
    <w:p w14:paraId="6FD4BE65" w14:textId="42FAE063" w:rsidR="002C2C66" w:rsidRDefault="00D47675" w:rsidP="00D47675">
      <w:pPr>
        <w:pStyle w:val="Heading3"/>
      </w:pPr>
      <w:r>
        <w:t>3.3</w:t>
      </w:r>
      <w:r w:rsidR="002C2C66">
        <w:t>.</w:t>
      </w:r>
      <w:r w:rsidR="009F2608">
        <w:t>3</w:t>
      </w:r>
      <w:r w:rsidR="002C2C66">
        <w:tab/>
      </w:r>
      <w:r w:rsidR="002C2C66" w:rsidRPr="002C2C66">
        <w:t>RRC-configured active DL BWP</w:t>
      </w:r>
    </w:p>
    <w:p w14:paraId="0EFAA027" w14:textId="5DE659AD" w:rsidR="006D35D9" w:rsidRDefault="00EB709D" w:rsidP="00666743">
      <w:pPr>
        <w:jc w:val="both"/>
        <w:rPr>
          <w:lang w:val="en-GB" w:eastAsia="ja-JP"/>
        </w:rPr>
      </w:pPr>
      <w:r>
        <w:rPr>
          <w:lang w:val="en-GB" w:eastAsia="ja-JP"/>
        </w:rPr>
        <w:t>An</w:t>
      </w:r>
      <w:r w:rsidR="00043964" w:rsidRPr="00043964">
        <w:rPr>
          <w:lang w:val="en-GB" w:eastAsia="ja-JP"/>
        </w:rPr>
        <w:t xml:space="preserve"> RRC-configured active DL BWP</w:t>
      </w:r>
      <w:r w:rsidR="008331B6">
        <w:rPr>
          <w:lang w:val="en-GB" w:eastAsia="ja-JP"/>
        </w:rPr>
        <w:t xml:space="preserve"> can have a more frequent use compared to the initial DL BWP. Therefore,</w:t>
      </w:r>
      <w:r w:rsidR="00043964">
        <w:rPr>
          <w:lang w:val="en-GB" w:eastAsia="ja-JP"/>
        </w:rPr>
        <w:t xml:space="preserve"> </w:t>
      </w:r>
      <w:r w:rsidR="00A37CCD">
        <w:rPr>
          <w:lang w:val="en-GB" w:eastAsia="ja-JP"/>
        </w:rPr>
        <w:t>it is desired to have an SSB</w:t>
      </w:r>
      <w:r>
        <w:rPr>
          <w:lang w:val="en-GB" w:eastAsia="ja-JP"/>
        </w:rPr>
        <w:t xml:space="preserve"> in </w:t>
      </w:r>
      <w:r w:rsidR="008331B6">
        <w:rPr>
          <w:lang w:val="en-GB" w:eastAsia="ja-JP"/>
        </w:rPr>
        <w:t xml:space="preserve">the </w:t>
      </w:r>
      <w:r w:rsidR="008331B6" w:rsidRPr="00043964">
        <w:rPr>
          <w:lang w:val="en-GB" w:eastAsia="ja-JP"/>
        </w:rPr>
        <w:t>RRC-configured active DL BWP</w:t>
      </w:r>
      <w:r w:rsidR="008331B6">
        <w:rPr>
          <w:lang w:val="en-GB" w:eastAsia="ja-JP"/>
        </w:rPr>
        <w:t xml:space="preserve"> in connected mode</w:t>
      </w:r>
      <w:r>
        <w:rPr>
          <w:lang w:val="en-GB" w:eastAsia="ja-JP"/>
        </w:rPr>
        <w:t xml:space="preserve">. If the </w:t>
      </w:r>
      <w:r w:rsidR="008331B6">
        <w:rPr>
          <w:lang w:val="en-GB" w:eastAsia="ja-JP"/>
        </w:rPr>
        <w:t xml:space="preserve">RedCap </w:t>
      </w:r>
      <w:r w:rsidRPr="00043964">
        <w:rPr>
          <w:lang w:val="en-GB" w:eastAsia="ja-JP"/>
        </w:rPr>
        <w:t>RRC-configured active DL BWP</w:t>
      </w:r>
      <w:r>
        <w:rPr>
          <w:lang w:val="en-GB" w:eastAsia="ja-JP"/>
        </w:rPr>
        <w:t xml:space="preserve"> </w:t>
      </w:r>
      <w:r w:rsidR="008331B6">
        <w:rPr>
          <w:lang w:val="en-GB" w:eastAsia="ja-JP"/>
        </w:rPr>
        <w:t>does not contain a CD-SSB</w:t>
      </w:r>
      <w:r w:rsidR="00466699">
        <w:rPr>
          <w:lang w:val="en-GB" w:eastAsia="ja-JP"/>
        </w:rPr>
        <w:t xml:space="preserve">, additional NCD-SSBs can be transmitted upon </w:t>
      </w:r>
      <w:r w:rsidR="006D35D9">
        <w:rPr>
          <w:lang w:val="en-GB" w:eastAsia="ja-JP"/>
        </w:rPr>
        <w:t xml:space="preserve">RAN2/4 approval. </w:t>
      </w:r>
      <w:r w:rsidR="005E789E" w:rsidRPr="005E789E">
        <w:rPr>
          <w:lang w:val="en-GB" w:eastAsia="ja-JP"/>
        </w:rPr>
        <w:t xml:space="preserve">In addition, </w:t>
      </w:r>
      <w:r w:rsidR="00627751">
        <w:rPr>
          <w:lang w:val="en-GB" w:eastAsia="ja-JP"/>
        </w:rPr>
        <w:t>as previously</w:t>
      </w:r>
      <w:r w:rsidR="006D35D9">
        <w:rPr>
          <w:lang w:val="en-GB" w:eastAsia="ja-JP"/>
        </w:rPr>
        <w:t xml:space="preserve"> discussed</w:t>
      </w:r>
      <w:r w:rsidR="005E789E" w:rsidRPr="005E789E">
        <w:rPr>
          <w:lang w:val="en-GB" w:eastAsia="ja-JP"/>
        </w:rPr>
        <w:t>, whether the network configures an additional SSBs to be transmitted in the DL BWP for RedCap can be based on the SSB monitoring periodicity (i.e., SMTC configuration) and the DRX cycle.</w:t>
      </w:r>
      <w:r w:rsidR="006D35D9">
        <w:rPr>
          <w:lang w:val="en-GB" w:eastAsia="ja-JP"/>
        </w:rPr>
        <w:t xml:space="preserve"> </w:t>
      </w:r>
    </w:p>
    <w:p w14:paraId="629268AE" w14:textId="0CE8C47D" w:rsidR="00530AAC" w:rsidRDefault="00413706" w:rsidP="00666743">
      <w:pPr>
        <w:jc w:val="both"/>
      </w:pPr>
      <w:r>
        <w:rPr>
          <w:lang w:val="en-GB" w:eastAsia="ja-JP"/>
        </w:rPr>
        <w:t>Note that</w:t>
      </w:r>
      <w:r w:rsidR="00EE6182">
        <w:rPr>
          <w:lang w:val="en-GB" w:eastAsia="ja-JP"/>
        </w:rPr>
        <w:t>,</w:t>
      </w:r>
      <w:r w:rsidR="007329BC">
        <w:rPr>
          <w:lang w:val="en-GB" w:eastAsia="ja-JP"/>
        </w:rPr>
        <w:t xml:space="preserve"> since it may not be possible to always place</w:t>
      </w:r>
      <w:r>
        <w:rPr>
          <w:lang w:val="en-GB" w:eastAsia="ja-JP"/>
        </w:rPr>
        <w:t xml:space="preserve"> </w:t>
      </w:r>
      <w:r w:rsidR="00EE6182">
        <w:rPr>
          <w:lang w:val="en-GB" w:eastAsia="ja-JP"/>
        </w:rPr>
        <w:t xml:space="preserve">CORESET #0 </w:t>
      </w:r>
      <w:r w:rsidR="007329BC">
        <w:rPr>
          <w:lang w:val="en-GB" w:eastAsia="ja-JP"/>
        </w:rPr>
        <w:t xml:space="preserve">near the carrier edge, </w:t>
      </w:r>
      <w:r w:rsidR="00027041">
        <w:rPr>
          <w:lang w:val="en-GB" w:eastAsia="ja-JP"/>
        </w:rPr>
        <w:t xml:space="preserve">the DL BWP may not contain CORESET #0. Therefore, even if additional </w:t>
      </w:r>
      <w:r w:rsidR="00745379">
        <w:rPr>
          <w:lang w:val="en-GB" w:eastAsia="ja-JP"/>
        </w:rPr>
        <w:t xml:space="preserve">non-cell defining </w:t>
      </w:r>
      <w:r w:rsidR="00027041">
        <w:rPr>
          <w:lang w:val="en-GB" w:eastAsia="ja-JP"/>
        </w:rPr>
        <w:t>SSBs</w:t>
      </w:r>
      <w:r w:rsidR="00745379">
        <w:rPr>
          <w:lang w:val="en-GB" w:eastAsia="ja-JP"/>
        </w:rPr>
        <w:t xml:space="preserve"> (non-CD SSBs)</w:t>
      </w:r>
      <w:r w:rsidR="00027041">
        <w:rPr>
          <w:lang w:val="en-GB" w:eastAsia="ja-JP"/>
        </w:rPr>
        <w:t xml:space="preserve"> </w:t>
      </w:r>
      <w:r w:rsidR="00467E88">
        <w:rPr>
          <w:lang w:val="en-GB" w:eastAsia="ja-JP"/>
        </w:rPr>
        <w:t xml:space="preserve">are transmitted </w:t>
      </w:r>
      <w:r w:rsidR="00467E88">
        <w:rPr>
          <w:lang w:val="en-GB" w:eastAsia="ja-JP"/>
        </w:rPr>
        <w:lastRenderedPageBreak/>
        <w:t xml:space="preserve">in the RedCap DL BWP, it may not </w:t>
      </w:r>
      <w:r w:rsidR="006A4402">
        <w:rPr>
          <w:lang w:val="en-GB" w:eastAsia="ja-JP"/>
        </w:rPr>
        <w:t>contain CORESET #0</w:t>
      </w:r>
      <w:r w:rsidR="00FA209C">
        <w:rPr>
          <w:lang w:val="en-GB" w:eastAsia="ja-JP"/>
        </w:rPr>
        <w:t xml:space="preserve"> thus </w:t>
      </w:r>
      <w:r w:rsidR="00C960B8">
        <w:rPr>
          <w:lang w:val="en-GB" w:eastAsia="ja-JP"/>
        </w:rPr>
        <w:t xml:space="preserve">it may not fulfil </w:t>
      </w:r>
      <w:r w:rsidR="00FA209C">
        <w:rPr>
          <w:lang w:val="en-GB" w:eastAsia="ja-JP"/>
        </w:rPr>
        <w:t>FG 6-</w:t>
      </w:r>
      <w:r w:rsidR="00C960B8">
        <w:rPr>
          <w:lang w:val="en-GB" w:eastAsia="ja-JP"/>
        </w:rPr>
        <w:t>1</w:t>
      </w:r>
      <w:r w:rsidR="0036706C">
        <w:rPr>
          <w:lang w:val="en-GB" w:eastAsia="ja-JP"/>
        </w:rPr>
        <w:t xml:space="preserve"> requirement.</w:t>
      </w:r>
      <w:r w:rsidR="0010528C">
        <w:rPr>
          <w:lang w:val="en-GB" w:eastAsia="ja-JP"/>
        </w:rPr>
        <w:t xml:space="preserve"> This can be considered as a special case of </w:t>
      </w:r>
      <w:r w:rsidR="00242893">
        <w:rPr>
          <w:lang w:val="en-GB" w:eastAsia="ja-JP"/>
        </w:rPr>
        <w:t xml:space="preserve">FG 6-1a in which </w:t>
      </w:r>
      <w:r w:rsidR="00242893">
        <w:t>RRC-configured DL BWP contains SSB but not CORESET #0</w:t>
      </w:r>
      <w:r w:rsidR="00C90872">
        <w:t xml:space="preserve"> (as shown in </w:t>
      </w:r>
      <w:r w:rsidR="00C90872">
        <w:fldChar w:fldCharType="begin"/>
      </w:r>
      <w:r w:rsidR="00C90872">
        <w:instrText xml:space="preserve"> REF _Ref82448923 \h </w:instrText>
      </w:r>
      <w:r w:rsidR="00EA5611">
        <w:instrText xml:space="preserve"> \* MERGEFORMAT </w:instrText>
      </w:r>
      <w:r w:rsidR="00C90872">
        <w:fldChar w:fldCharType="separate"/>
      </w:r>
      <w:r w:rsidR="007A78E0">
        <w:t xml:space="preserve">Figure </w:t>
      </w:r>
      <w:r w:rsidR="007A78E0">
        <w:rPr>
          <w:noProof/>
        </w:rPr>
        <w:t>7</w:t>
      </w:r>
      <w:r w:rsidR="00C90872">
        <w:fldChar w:fldCharType="end"/>
      </w:r>
      <w:r w:rsidR="00C90872">
        <w:t>)</w:t>
      </w:r>
      <w:r w:rsidR="00242893">
        <w:t>.</w:t>
      </w:r>
      <w:r w:rsidR="0011290F">
        <w:t xml:space="preserve"> </w:t>
      </w:r>
      <w:r w:rsidR="00666743">
        <w:t xml:space="preserve"> </w:t>
      </w:r>
    </w:p>
    <w:p w14:paraId="70AC2CEF" w14:textId="58102860" w:rsidR="00530AAC" w:rsidRDefault="00C00112" w:rsidP="00530AAC">
      <w:pPr>
        <w:spacing w:after="0"/>
        <w:jc w:val="both"/>
      </w:pPr>
      <w:r>
        <w:t xml:space="preserve">Moreover, </w:t>
      </w:r>
      <w:r w:rsidR="00530AAC">
        <w:t>RedCap UEs are not able to simultaneously receive SSB and CORESET #0 for one special CORESET</w:t>
      </w:r>
      <w:r w:rsidR="00530AAC" w:rsidRPr="0012102C">
        <w:t xml:space="preserve"> #0</w:t>
      </w:r>
      <w:r w:rsidR="00530AAC">
        <w:t>/</w:t>
      </w:r>
      <w:r w:rsidR="00530AAC" w:rsidRPr="0012102C">
        <w:t xml:space="preserve">SSB multiplexing pattern </w:t>
      </w:r>
      <w:r w:rsidR="00530AAC">
        <w:t xml:space="preserve">in FR2, namely pattern 2 for 240 kHz SSB and 120 kHz PDCCH SCS. </w:t>
      </w:r>
      <w:r w:rsidR="00530AAC" w:rsidRPr="00BA10A8">
        <w:t xml:space="preserve">Based on </w:t>
      </w:r>
      <w:r w:rsidR="00530AAC">
        <w:fldChar w:fldCharType="begin"/>
      </w:r>
      <w:r w:rsidR="00530AAC">
        <w:instrText xml:space="preserve"> REF _Ref67909151 \r \h </w:instrText>
      </w:r>
      <w:r w:rsidR="00530AAC">
        <w:fldChar w:fldCharType="separate"/>
      </w:r>
      <w:r w:rsidR="007A78E0">
        <w:t>[5]</w:t>
      </w:r>
      <w:r w:rsidR="00530AAC">
        <w:fldChar w:fldCharType="end"/>
      </w:r>
      <w:r w:rsidR="00530AAC">
        <w:t xml:space="preserve"> (</w:t>
      </w:r>
      <w:r w:rsidR="00530AAC" w:rsidRPr="00BA10A8">
        <w:t>TS 38. 213</w:t>
      </w:r>
      <w:r w:rsidR="00530AAC">
        <w:t xml:space="preserve">, </w:t>
      </w:r>
      <w:r w:rsidR="00530AAC" w:rsidRPr="00BA10A8">
        <w:t>Table 13-10</w:t>
      </w:r>
      <w:r w:rsidR="00530AAC">
        <w:t>)</w:t>
      </w:r>
      <w:r w:rsidR="00530AAC" w:rsidRPr="00BA10A8">
        <w:t xml:space="preserve">, only </w:t>
      </w:r>
      <w:r w:rsidR="00530AAC">
        <w:t xml:space="preserve">the </w:t>
      </w:r>
      <w:r w:rsidR="00530AAC" w:rsidRPr="00BA10A8">
        <w:t>cases</w:t>
      </w:r>
      <w:r w:rsidR="00530AAC">
        <w:t xml:space="preserve"> </w:t>
      </w:r>
      <w:proofErr w:type="gramStart"/>
      <w:r w:rsidR="00530AAC">
        <w:t>listed</w:t>
      </w:r>
      <w:r w:rsidR="005672DB">
        <w:t xml:space="preserve"> </w:t>
      </w:r>
      <w:r w:rsidR="00530AAC">
        <w:t xml:space="preserve"> </w:t>
      </w:r>
      <w:r w:rsidR="005672DB">
        <w:t>in</w:t>
      </w:r>
      <w:proofErr w:type="gramEnd"/>
      <w:r w:rsidR="005672DB">
        <w:t xml:space="preserve"> table below </w:t>
      </w:r>
      <w:r w:rsidR="00530AAC" w:rsidRPr="00BA10A8">
        <w:t xml:space="preserve">result in </w:t>
      </w:r>
      <w:r w:rsidR="00530AAC">
        <w:t xml:space="preserve">a </w:t>
      </w:r>
      <w:r w:rsidR="00530AAC" w:rsidRPr="00BA10A8">
        <w:t>total bandwidth</w:t>
      </w:r>
      <w:r w:rsidR="00530AAC">
        <w:t xml:space="preserve"> larger than 100 MHz (</w:t>
      </w:r>
      <w:r w:rsidR="00530AAC" w:rsidRPr="00BA10A8">
        <w:t>around 126-128 MHz</w:t>
      </w:r>
      <w:r w:rsidR="00530AAC">
        <w:t>)</w:t>
      </w:r>
      <w:r w:rsidR="00530AAC" w:rsidRPr="00BA10A8">
        <w:t xml:space="preserve"> which exceed the</w:t>
      </w:r>
      <w:r w:rsidR="00530AAC">
        <w:t xml:space="preserve"> RedCap UE</w:t>
      </w:r>
      <w:r w:rsidR="00530AAC" w:rsidRPr="00BA10A8">
        <w:t xml:space="preserve"> </w:t>
      </w:r>
      <w:r w:rsidR="00530AAC">
        <w:t>bandwidth in FR2.</w:t>
      </w:r>
      <w:r w:rsidR="00530AAC" w:rsidRPr="00F83FCB">
        <w:t xml:space="preserve"> </w:t>
      </w:r>
      <w:r w:rsidR="00530AAC">
        <w:t xml:space="preserve">In the table, </w:t>
      </w:r>
      <w:proofErr w:type="spellStart"/>
      <w:r w:rsidR="00530AAC">
        <w:t>k</w:t>
      </w:r>
      <w:r w:rsidR="00530AAC" w:rsidRPr="006A1D29">
        <w:rPr>
          <w:vertAlign w:val="subscript"/>
        </w:rPr>
        <w:t>ssb</w:t>
      </w:r>
      <w:proofErr w:type="spellEnd"/>
      <w:r w:rsidR="00530AAC">
        <w:t xml:space="preserve"> is the </w:t>
      </w:r>
      <w:r w:rsidR="00530AAC" w:rsidRPr="002E7C94">
        <w:t>number of subcarrier</w:t>
      </w:r>
      <w:r w:rsidR="00530AAC">
        <w:t>s indicating</w:t>
      </w:r>
      <w:r w:rsidR="00530AAC" w:rsidRPr="002E7C94">
        <w:t xml:space="preserve"> SSB offset from </w:t>
      </w:r>
      <w:r w:rsidR="00530AAC">
        <w:t xml:space="preserve">the </w:t>
      </w:r>
      <w:r w:rsidR="00530AAC" w:rsidRPr="002E7C94">
        <w:t>PRB grid</w:t>
      </w:r>
      <w:r w:rsidR="00530AAC">
        <w:t>.</w:t>
      </w:r>
      <w:r>
        <w:t xml:space="preserve"> Therefore, in this case the RRC-configured DL BWP cannot contain both SSB and CORESET #0.  </w:t>
      </w:r>
    </w:p>
    <w:p w14:paraId="1844CF47" w14:textId="77777777" w:rsidR="00530AAC" w:rsidRDefault="00530AAC" w:rsidP="00530AAC">
      <w:pPr>
        <w:spacing w:after="0"/>
        <w:jc w:val="both"/>
      </w:pPr>
    </w:p>
    <w:p w14:paraId="22D09369" w14:textId="3E21239E" w:rsidR="00530AAC" w:rsidRDefault="00530AAC" w:rsidP="00530AAC">
      <w:pPr>
        <w:pStyle w:val="Caption"/>
        <w:keepNext/>
        <w:jc w:val="center"/>
      </w:pPr>
      <w:r>
        <w:t xml:space="preserve">Table </w:t>
      </w:r>
      <w:r>
        <w:fldChar w:fldCharType="begin"/>
      </w:r>
      <w:r>
        <w:instrText xml:space="preserve"> SEQ Table \* ARABIC </w:instrText>
      </w:r>
      <w:r>
        <w:fldChar w:fldCharType="separate"/>
      </w:r>
      <w:r w:rsidR="007A78E0">
        <w:rPr>
          <w:noProof/>
        </w:rPr>
        <w:t>1</w:t>
      </w:r>
      <w:r>
        <w:fldChar w:fldCharType="end"/>
      </w:r>
      <w:r>
        <w:t xml:space="preserve">: Cases that exceed RedCap UE bandwidth in FR2, </w:t>
      </w:r>
      <w:r w:rsidRPr="0040000F">
        <w:t>{SS/PBCH block, PDCCH} SCS is {240, 120} kHz, multiplexing pattern 2</w:t>
      </w:r>
      <w:r>
        <w:t>.</w:t>
      </w:r>
    </w:p>
    <w:tbl>
      <w:tblPr>
        <w:tblW w:w="9629" w:type="dxa"/>
        <w:tblCellMar>
          <w:left w:w="0" w:type="dxa"/>
          <w:right w:w="0" w:type="dxa"/>
        </w:tblCellMar>
        <w:tblLook w:val="01E0" w:firstRow="1" w:lastRow="1" w:firstColumn="1" w:lastColumn="1" w:noHBand="0" w:noVBand="0"/>
      </w:tblPr>
      <w:tblGrid>
        <w:gridCol w:w="864"/>
        <w:gridCol w:w="2954"/>
        <w:gridCol w:w="1842"/>
        <w:gridCol w:w="2127"/>
        <w:gridCol w:w="1842"/>
      </w:tblGrid>
      <w:tr w:rsidR="00530AAC" w:rsidRPr="00A8589B" w14:paraId="7C452BD3" w14:textId="77777777" w:rsidTr="004204CE">
        <w:trPr>
          <w:trHeight w:val="336"/>
        </w:trPr>
        <w:tc>
          <w:tcPr>
            <w:tcW w:w="864" w:type="dxa"/>
            <w:tcBorders>
              <w:top w:val="single" w:sz="8" w:space="0" w:color="000000"/>
              <w:left w:val="single" w:sz="8" w:space="0" w:color="000000"/>
              <w:bottom w:val="double" w:sz="4" w:space="0" w:color="000000"/>
              <w:right w:val="double" w:sz="4" w:space="0" w:color="000000"/>
            </w:tcBorders>
            <w:shd w:val="clear" w:color="auto" w:fill="D9D9D9" w:themeFill="background1" w:themeFillShade="D9"/>
            <w:tcMar>
              <w:top w:w="15" w:type="dxa"/>
              <w:left w:w="108" w:type="dxa"/>
              <w:bottom w:w="0" w:type="dxa"/>
              <w:right w:w="108" w:type="dxa"/>
            </w:tcMar>
            <w:vAlign w:val="center"/>
            <w:hideMark/>
          </w:tcPr>
          <w:p w14:paraId="36B3FAF6" w14:textId="77777777" w:rsidR="00530AAC" w:rsidRPr="00A8589B" w:rsidRDefault="00530AAC" w:rsidP="004204CE">
            <w:pPr>
              <w:spacing w:after="0"/>
              <w:rPr>
                <w:sz w:val="18"/>
                <w:szCs w:val="20"/>
              </w:rPr>
            </w:pPr>
            <w:r w:rsidRPr="00A8589B">
              <w:rPr>
                <w:b/>
                <w:bCs/>
                <w:sz w:val="18"/>
                <w:szCs w:val="20"/>
              </w:rPr>
              <w:t>Index</w:t>
            </w:r>
          </w:p>
        </w:tc>
        <w:tc>
          <w:tcPr>
            <w:tcW w:w="2954" w:type="dxa"/>
            <w:tcBorders>
              <w:top w:val="single" w:sz="8" w:space="0" w:color="000000"/>
              <w:left w:val="double" w:sz="4" w:space="0" w:color="000000"/>
              <w:bottom w:val="double" w:sz="4" w:space="0" w:color="000000"/>
              <w:right w:val="single" w:sz="8" w:space="0" w:color="000000"/>
            </w:tcBorders>
            <w:shd w:val="clear" w:color="auto" w:fill="D9D9D9" w:themeFill="background1" w:themeFillShade="D9"/>
            <w:tcMar>
              <w:top w:w="15" w:type="dxa"/>
              <w:left w:w="108" w:type="dxa"/>
              <w:bottom w:w="0" w:type="dxa"/>
              <w:right w:w="108" w:type="dxa"/>
            </w:tcMar>
            <w:vAlign w:val="center"/>
            <w:hideMark/>
          </w:tcPr>
          <w:p w14:paraId="31AF84B6" w14:textId="77777777" w:rsidR="00530AAC" w:rsidRPr="00A8589B" w:rsidRDefault="00530AAC" w:rsidP="004204CE">
            <w:pPr>
              <w:spacing w:after="0"/>
              <w:rPr>
                <w:sz w:val="18"/>
                <w:szCs w:val="20"/>
              </w:rPr>
            </w:pPr>
            <w:r w:rsidRPr="00AA3123">
              <w:rPr>
                <w:b/>
                <w:bCs/>
                <w:sz w:val="18"/>
                <w:szCs w:val="20"/>
              </w:rPr>
              <w:t xml:space="preserve">SS/PBCH block and CORESET multiplexing pattern </w:t>
            </w:r>
          </w:p>
        </w:tc>
        <w:tc>
          <w:tcPr>
            <w:tcW w:w="1842" w:type="dxa"/>
            <w:tcBorders>
              <w:top w:val="single" w:sz="8" w:space="0" w:color="000000"/>
              <w:left w:val="single" w:sz="8" w:space="0" w:color="000000"/>
              <w:bottom w:val="double" w:sz="4" w:space="0" w:color="000000"/>
              <w:right w:val="single" w:sz="8" w:space="0" w:color="000000"/>
            </w:tcBorders>
            <w:shd w:val="clear" w:color="auto" w:fill="D9D9D9" w:themeFill="background1" w:themeFillShade="D9"/>
            <w:tcMar>
              <w:top w:w="15" w:type="dxa"/>
              <w:left w:w="108" w:type="dxa"/>
              <w:bottom w:w="0" w:type="dxa"/>
              <w:right w:w="108" w:type="dxa"/>
            </w:tcMar>
            <w:vAlign w:val="center"/>
            <w:hideMark/>
          </w:tcPr>
          <w:p w14:paraId="35830FB0" w14:textId="77777777" w:rsidR="00530AAC" w:rsidRPr="00A8589B" w:rsidRDefault="00530AAC" w:rsidP="004204CE">
            <w:pPr>
              <w:spacing w:after="0"/>
              <w:rPr>
                <w:sz w:val="18"/>
                <w:szCs w:val="20"/>
              </w:rPr>
            </w:pPr>
            <w:r w:rsidRPr="00AA3123">
              <w:rPr>
                <w:b/>
                <w:bCs/>
                <w:sz w:val="18"/>
                <w:szCs w:val="20"/>
              </w:rPr>
              <w:t xml:space="preserve">Number of RBs </w:t>
            </w:r>
          </w:p>
        </w:tc>
        <w:tc>
          <w:tcPr>
            <w:tcW w:w="2127" w:type="dxa"/>
            <w:tcBorders>
              <w:top w:val="single" w:sz="8" w:space="0" w:color="000000"/>
              <w:left w:val="single" w:sz="8" w:space="0" w:color="000000"/>
              <w:bottom w:val="double" w:sz="4" w:space="0" w:color="000000"/>
              <w:right w:val="single" w:sz="8" w:space="0" w:color="000000"/>
            </w:tcBorders>
            <w:shd w:val="clear" w:color="auto" w:fill="D9D9D9" w:themeFill="background1" w:themeFillShade="D9"/>
            <w:tcMar>
              <w:top w:w="15" w:type="dxa"/>
              <w:left w:w="108" w:type="dxa"/>
              <w:bottom w:w="0" w:type="dxa"/>
              <w:right w:w="108" w:type="dxa"/>
            </w:tcMar>
            <w:vAlign w:val="center"/>
            <w:hideMark/>
          </w:tcPr>
          <w:p w14:paraId="7FFD970B" w14:textId="77777777" w:rsidR="00530AAC" w:rsidRPr="00A8589B" w:rsidRDefault="00530AAC" w:rsidP="004204CE">
            <w:pPr>
              <w:spacing w:after="0"/>
              <w:rPr>
                <w:sz w:val="18"/>
                <w:szCs w:val="20"/>
              </w:rPr>
            </w:pPr>
            <w:r w:rsidRPr="00AA3123">
              <w:rPr>
                <w:b/>
                <w:bCs/>
                <w:sz w:val="18"/>
                <w:szCs w:val="20"/>
              </w:rPr>
              <w:t xml:space="preserve">Number of Symbols </w:t>
            </w:r>
          </w:p>
        </w:tc>
        <w:tc>
          <w:tcPr>
            <w:tcW w:w="1842" w:type="dxa"/>
            <w:tcBorders>
              <w:top w:val="single" w:sz="8" w:space="0" w:color="000000"/>
              <w:left w:val="single" w:sz="8" w:space="0" w:color="000000"/>
              <w:bottom w:val="double" w:sz="4" w:space="0" w:color="000000"/>
              <w:right w:val="single" w:sz="8" w:space="0" w:color="000000"/>
            </w:tcBorders>
            <w:shd w:val="clear" w:color="auto" w:fill="D9D9D9" w:themeFill="background1" w:themeFillShade="D9"/>
            <w:tcMar>
              <w:top w:w="15" w:type="dxa"/>
              <w:left w:w="108" w:type="dxa"/>
              <w:bottom w:w="0" w:type="dxa"/>
              <w:right w:w="108" w:type="dxa"/>
            </w:tcMar>
            <w:vAlign w:val="center"/>
            <w:hideMark/>
          </w:tcPr>
          <w:p w14:paraId="3E988578" w14:textId="77777777" w:rsidR="00530AAC" w:rsidRPr="00A8589B" w:rsidRDefault="00530AAC" w:rsidP="004204CE">
            <w:pPr>
              <w:spacing w:after="0"/>
              <w:rPr>
                <w:sz w:val="18"/>
                <w:szCs w:val="20"/>
              </w:rPr>
            </w:pPr>
            <w:r w:rsidRPr="00AA3123">
              <w:rPr>
                <w:b/>
                <w:bCs/>
                <w:sz w:val="18"/>
                <w:szCs w:val="20"/>
              </w:rPr>
              <w:t xml:space="preserve">Offset (RBs) </w:t>
            </w:r>
          </w:p>
        </w:tc>
      </w:tr>
      <w:tr w:rsidR="00530AAC" w:rsidRPr="00A8589B" w14:paraId="0E2DBDCA" w14:textId="77777777" w:rsidTr="004204CE">
        <w:trPr>
          <w:trHeight w:val="336"/>
        </w:trPr>
        <w:tc>
          <w:tcPr>
            <w:tcW w:w="864" w:type="dxa"/>
            <w:tcBorders>
              <w:top w:val="double" w:sz="4" w:space="0" w:color="000000"/>
              <w:left w:val="single" w:sz="8" w:space="0" w:color="000000"/>
              <w:bottom w:val="single" w:sz="8" w:space="0" w:color="000000"/>
              <w:right w:val="double" w:sz="4" w:space="0" w:color="000000"/>
            </w:tcBorders>
            <w:shd w:val="clear" w:color="auto" w:fill="auto"/>
            <w:tcMar>
              <w:top w:w="15" w:type="dxa"/>
              <w:left w:w="108" w:type="dxa"/>
              <w:bottom w:w="0" w:type="dxa"/>
              <w:right w:w="108" w:type="dxa"/>
            </w:tcMar>
            <w:vAlign w:val="center"/>
            <w:hideMark/>
          </w:tcPr>
          <w:p w14:paraId="04AF38B0" w14:textId="77777777" w:rsidR="00530AAC" w:rsidRPr="00A8589B" w:rsidRDefault="00530AAC" w:rsidP="004204CE">
            <w:pPr>
              <w:spacing w:after="0"/>
              <w:jc w:val="both"/>
              <w:rPr>
                <w:sz w:val="18"/>
                <w:szCs w:val="20"/>
              </w:rPr>
            </w:pPr>
            <w:r w:rsidRPr="00AA3123">
              <w:rPr>
                <w:sz w:val="18"/>
                <w:szCs w:val="20"/>
              </w:rPr>
              <w:t>6</w:t>
            </w:r>
          </w:p>
        </w:tc>
        <w:tc>
          <w:tcPr>
            <w:tcW w:w="2954" w:type="dxa"/>
            <w:tcBorders>
              <w:top w:val="double" w:sz="4" w:space="0" w:color="000000"/>
              <w:left w:val="double" w:sz="4"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11E754E" w14:textId="77777777" w:rsidR="00530AAC" w:rsidRPr="00A8589B" w:rsidRDefault="00530AAC" w:rsidP="004204CE">
            <w:pPr>
              <w:spacing w:after="0"/>
              <w:jc w:val="both"/>
              <w:rPr>
                <w:sz w:val="18"/>
                <w:szCs w:val="20"/>
              </w:rPr>
            </w:pPr>
            <w:r w:rsidRPr="00AA3123">
              <w:rPr>
                <w:sz w:val="18"/>
                <w:szCs w:val="20"/>
              </w:rPr>
              <w:t>2</w:t>
            </w:r>
          </w:p>
        </w:tc>
        <w:tc>
          <w:tcPr>
            <w:tcW w:w="1842" w:type="dxa"/>
            <w:tcBorders>
              <w:top w:val="double" w:sz="4"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887021D" w14:textId="77777777" w:rsidR="00530AAC" w:rsidRPr="00A8589B" w:rsidRDefault="00530AAC" w:rsidP="004204CE">
            <w:pPr>
              <w:spacing w:after="0"/>
              <w:jc w:val="both"/>
              <w:rPr>
                <w:sz w:val="18"/>
                <w:szCs w:val="20"/>
              </w:rPr>
            </w:pPr>
            <w:r w:rsidRPr="00AA3123">
              <w:rPr>
                <w:sz w:val="18"/>
                <w:szCs w:val="20"/>
              </w:rPr>
              <w:t>48</w:t>
            </w:r>
          </w:p>
        </w:tc>
        <w:tc>
          <w:tcPr>
            <w:tcW w:w="2127" w:type="dxa"/>
            <w:tcBorders>
              <w:top w:val="double" w:sz="4"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E68BEAC" w14:textId="77777777" w:rsidR="00530AAC" w:rsidRPr="00A8589B" w:rsidRDefault="00530AAC" w:rsidP="004204CE">
            <w:pPr>
              <w:spacing w:after="0"/>
              <w:jc w:val="both"/>
              <w:rPr>
                <w:sz w:val="18"/>
                <w:szCs w:val="20"/>
              </w:rPr>
            </w:pPr>
            <w:r w:rsidRPr="00AA3123">
              <w:rPr>
                <w:sz w:val="18"/>
                <w:szCs w:val="20"/>
              </w:rPr>
              <w:t>1</w:t>
            </w:r>
          </w:p>
        </w:tc>
        <w:tc>
          <w:tcPr>
            <w:tcW w:w="1842" w:type="dxa"/>
            <w:tcBorders>
              <w:top w:val="double" w:sz="4"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3677F6F" w14:textId="77777777" w:rsidR="00530AAC" w:rsidRPr="00A8589B" w:rsidRDefault="00530AAC" w:rsidP="004204CE">
            <w:pPr>
              <w:spacing w:after="0"/>
              <w:jc w:val="both"/>
              <w:rPr>
                <w:sz w:val="18"/>
                <w:szCs w:val="20"/>
              </w:rPr>
            </w:pPr>
            <w:r w:rsidRPr="00AA3123">
              <w:rPr>
                <w:sz w:val="18"/>
                <w:szCs w:val="20"/>
              </w:rPr>
              <w:t xml:space="preserve">-41 if </w:t>
            </w:r>
            <w:proofErr w:type="spellStart"/>
            <w:r w:rsidRPr="00AA3123">
              <w:rPr>
                <w:sz w:val="18"/>
                <w:szCs w:val="20"/>
              </w:rPr>
              <w:t>k</w:t>
            </w:r>
            <w:r w:rsidRPr="00AA3123">
              <w:rPr>
                <w:sz w:val="18"/>
                <w:szCs w:val="20"/>
                <w:vertAlign w:val="subscript"/>
              </w:rPr>
              <w:t>ssb</w:t>
            </w:r>
            <w:proofErr w:type="spellEnd"/>
            <w:r w:rsidRPr="00AA3123">
              <w:rPr>
                <w:sz w:val="18"/>
                <w:szCs w:val="20"/>
              </w:rPr>
              <w:t>=0</w:t>
            </w:r>
          </w:p>
          <w:p w14:paraId="1490B2F3" w14:textId="77777777" w:rsidR="00530AAC" w:rsidRPr="00A8589B" w:rsidRDefault="00530AAC" w:rsidP="004204CE">
            <w:pPr>
              <w:spacing w:after="0"/>
              <w:jc w:val="both"/>
              <w:rPr>
                <w:sz w:val="18"/>
                <w:szCs w:val="20"/>
              </w:rPr>
            </w:pPr>
            <w:r w:rsidRPr="00AA3123">
              <w:rPr>
                <w:sz w:val="18"/>
                <w:szCs w:val="20"/>
              </w:rPr>
              <w:t xml:space="preserve">-42 if </w:t>
            </w:r>
            <w:proofErr w:type="spellStart"/>
            <w:r w:rsidRPr="00AA3123">
              <w:rPr>
                <w:sz w:val="18"/>
                <w:szCs w:val="20"/>
              </w:rPr>
              <w:t>k</w:t>
            </w:r>
            <w:r w:rsidRPr="00AA3123">
              <w:rPr>
                <w:sz w:val="18"/>
                <w:szCs w:val="20"/>
                <w:vertAlign w:val="subscript"/>
              </w:rPr>
              <w:t>ssb</w:t>
            </w:r>
            <w:proofErr w:type="spellEnd"/>
            <w:r w:rsidRPr="00AA3123">
              <w:rPr>
                <w:sz w:val="18"/>
                <w:szCs w:val="20"/>
              </w:rPr>
              <w:t>&gt;0</w:t>
            </w:r>
          </w:p>
        </w:tc>
      </w:tr>
      <w:tr w:rsidR="00530AAC" w:rsidRPr="00A8589B" w14:paraId="6215858C" w14:textId="77777777" w:rsidTr="004204CE">
        <w:trPr>
          <w:trHeight w:val="171"/>
        </w:trPr>
        <w:tc>
          <w:tcPr>
            <w:tcW w:w="864" w:type="dxa"/>
            <w:tcBorders>
              <w:top w:val="single" w:sz="8" w:space="0" w:color="000000"/>
              <w:left w:val="single" w:sz="8" w:space="0" w:color="000000"/>
              <w:bottom w:val="single" w:sz="8" w:space="0" w:color="000000"/>
              <w:right w:val="double" w:sz="4" w:space="0" w:color="000000"/>
            </w:tcBorders>
            <w:shd w:val="clear" w:color="auto" w:fill="auto"/>
            <w:tcMar>
              <w:top w:w="15" w:type="dxa"/>
              <w:left w:w="108" w:type="dxa"/>
              <w:bottom w:w="0" w:type="dxa"/>
              <w:right w:w="108" w:type="dxa"/>
            </w:tcMar>
            <w:vAlign w:val="center"/>
            <w:hideMark/>
          </w:tcPr>
          <w:p w14:paraId="0BD6B9FD" w14:textId="77777777" w:rsidR="00530AAC" w:rsidRPr="00A8589B" w:rsidRDefault="00530AAC" w:rsidP="004204CE">
            <w:pPr>
              <w:spacing w:after="0"/>
              <w:jc w:val="both"/>
              <w:rPr>
                <w:sz w:val="18"/>
                <w:szCs w:val="20"/>
              </w:rPr>
            </w:pPr>
            <w:r w:rsidRPr="00AA3123">
              <w:rPr>
                <w:sz w:val="18"/>
                <w:szCs w:val="20"/>
              </w:rPr>
              <w:t>7</w:t>
            </w:r>
          </w:p>
        </w:tc>
        <w:tc>
          <w:tcPr>
            <w:tcW w:w="2954" w:type="dxa"/>
            <w:tcBorders>
              <w:top w:val="single" w:sz="8" w:space="0" w:color="000000"/>
              <w:left w:val="double" w:sz="4"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7A9DCF3" w14:textId="77777777" w:rsidR="00530AAC" w:rsidRPr="00A8589B" w:rsidRDefault="00530AAC" w:rsidP="004204CE">
            <w:pPr>
              <w:spacing w:after="0"/>
              <w:jc w:val="both"/>
              <w:rPr>
                <w:sz w:val="18"/>
                <w:szCs w:val="20"/>
              </w:rPr>
            </w:pPr>
            <w:r w:rsidRPr="00AA3123">
              <w:rPr>
                <w:sz w:val="18"/>
                <w:szCs w:val="20"/>
              </w:rPr>
              <w:t>2</w:t>
            </w:r>
          </w:p>
        </w:tc>
        <w:tc>
          <w:tcPr>
            <w:tcW w:w="184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A8E3F67" w14:textId="77777777" w:rsidR="00530AAC" w:rsidRPr="00A8589B" w:rsidRDefault="00530AAC" w:rsidP="004204CE">
            <w:pPr>
              <w:spacing w:after="0"/>
              <w:jc w:val="both"/>
              <w:rPr>
                <w:sz w:val="18"/>
                <w:szCs w:val="20"/>
              </w:rPr>
            </w:pPr>
            <w:r w:rsidRPr="00AA3123">
              <w:rPr>
                <w:sz w:val="18"/>
                <w:szCs w:val="20"/>
              </w:rPr>
              <w:t>48</w:t>
            </w:r>
          </w:p>
        </w:tc>
        <w:tc>
          <w:tcPr>
            <w:tcW w:w="212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E232631" w14:textId="77777777" w:rsidR="00530AAC" w:rsidRPr="00A8589B" w:rsidRDefault="00530AAC" w:rsidP="004204CE">
            <w:pPr>
              <w:spacing w:after="0"/>
              <w:jc w:val="both"/>
              <w:rPr>
                <w:sz w:val="18"/>
                <w:szCs w:val="20"/>
              </w:rPr>
            </w:pPr>
            <w:r w:rsidRPr="00AA3123">
              <w:rPr>
                <w:sz w:val="18"/>
                <w:szCs w:val="20"/>
              </w:rPr>
              <w:t>1</w:t>
            </w:r>
          </w:p>
        </w:tc>
        <w:tc>
          <w:tcPr>
            <w:tcW w:w="184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57CDC20" w14:textId="77777777" w:rsidR="00530AAC" w:rsidRPr="00A8589B" w:rsidRDefault="00530AAC" w:rsidP="004204CE">
            <w:pPr>
              <w:spacing w:after="0"/>
              <w:jc w:val="both"/>
              <w:rPr>
                <w:sz w:val="18"/>
                <w:szCs w:val="20"/>
              </w:rPr>
            </w:pPr>
            <w:r w:rsidRPr="00AA3123">
              <w:rPr>
                <w:sz w:val="18"/>
                <w:szCs w:val="20"/>
              </w:rPr>
              <w:t>49</w:t>
            </w:r>
          </w:p>
        </w:tc>
      </w:tr>
    </w:tbl>
    <w:p w14:paraId="6EB14876" w14:textId="77777777" w:rsidR="00530AAC" w:rsidRPr="004C0001" w:rsidRDefault="00530AAC" w:rsidP="00530AAC">
      <w:pPr>
        <w:spacing w:after="0"/>
        <w:jc w:val="both"/>
      </w:pPr>
    </w:p>
    <w:p w14:paraId="71E746A4" w14:textId="508DEFDF" w:rsidR="00C90872" w:rsidRDefault="00C90872" w:rsidP="002C2C66"/>
    <w:p w14:paraId="1E5D3F55" w14:textId="77777777" w:rsidR="00C90872" w:rsidRDefault="00C90872" w:rsidP="00CB2010">
      <w:pPr>
        <w:keepNext/>
        <w:jc w:val="center"/>
      </w:pPr>
      <w:r>
        <w:rPr>
          <w:noProof/>
        </w:rPr>
        <w:drawing>
          <wp:inline distT="0" distB="0" distL="0" distR="0" wp14:anchorId="2DC248EE" wp14:editId="1C1096EB">
            <wp:extent cx="4789284" cy="1782209"/>
            <wp:effectExtent l="0" t="0" r="0" b="889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4828444" cy="1796781"/>
                    </a:xfrm>
                    <a:prstGeom prst="rect">
                      <a:avLst/>
                    </a:prstGeom>
                    <a:noFill/>
                  </pic:spPr>
                </pic:pic>
              </a:graphicData>
            </a:graphic>
          </wp:inline>
        </w:drawing>
      </w:r>
    </w:p>
    <w:p w14:paraId="7038263C" w14:textId="47E8BBA1" w:rsidR="00C90872" w:rsidRDefault="00C90872" w:rsidP="00CB2010">
      <w:pPr>
        <w:pStyle w:val="Caption"/>
        <w:jc w:val="center"/>
      </w:pPr>
      <w:bookmarkStart w:id="87" w:name="_Ref82448923"/>
      <w:r>
        <w:t xml:space="preserve">Figure </w:t>
      </w:r>
      <w:r>
        <w:fldChar w:fldCharType="begin"/>
      </w:r>
      <w:r>
        <w:instrText xml:space="preserve"> SEQ Figure \* ARABIC </w:instrText>
      </w:r>
      <w:r>
        <w:fldChar w:fldCharType="separate"/>
      </w:r>
      <w:r w:rsidR="007A78E0">
        <w:rPr>
          <w:noProof/>
        </w:rPr>
        <w:t>7</w:t>
      </w:r>
      <w:r>
        <w:fldChar w:fldCharType="end"/>
      </w:r>
      <w:bookmarkEnd w:id="87"/>
      <w:r>
        <w:t>: RedCap non-initial DL BWP containing SSB but not CORESET #0.</w:t>
      </w:r>
    </w:p>
    <w:p w14:paraId="7B882CEE" w14:textId="4AB90386" w:rsidR="00327B72" w:rsidRDefault="004256A1" w:rsidP="00187C50">
      <w:pPr>
        <w:jc w:val="both"/>
      </w:pPr>
      <w:r>
        <w:t xml:space="preserve">Regarding the use of </w:t>
      </w:r>
      <w:r w:rsidRPr="00327B72">
        <w:t xml:space="preserve">CSI-RS </w:t>
      </w:r>
      <w:r w:rsidR="00505488">
        <w:t xml:space="preserve">and/or </w:t>
      </w:r>
      <w:r w:rsidR="00505488" w:rsidRPr="00505488">
        <w:t>measurement gaps</w:t>
      </w:r>
      <w:r w:rsidR="00505488">
        <w:t xml:space="preserve"> instead of NC</w:t>
      </w:r>
      <w:r w:rsidR="00855DEB">
        <w:t xml:space="preserve">D-SSB, </w:t>
      </w:r>
      <w:r w:rsidR="00161647">
        <w:t xml:space="preserve">our </w:t>
      </w:r>
      <w:r w:rsidR="00E42E3C">
        <w:t xml:space="preserve">analysis in </w:t>
      </w:r>
      <w:r w:rsidR="00D31786">
        <w:fldChar w:fldCharType="begin"/>
      </w:r>
      <w:r w:rsidR="00D31786">
        <w:instrText xml:space="preserve"> REF _Ref86510435 \r \h  \* MERGEFORMAT </w:instrText>
      </w:r>
      <w:r w:rsidR="00D31786">
        <w:fldChar w:fldCharType="separate"/>
      </w:r>
      <w:r w:rsidR="007A78E0">
        <w:t>[9]</w:t>
      </w:r>
      <w:r w:rsidR="00D31786">
        <w:fldChar w:fldCharType="end"/>
      </w:r>
      <w:r w:rsidR="00D31786">
        <w:t xml:space="preserve"> </w:t>
      </w:r>
      <w:r w:rsidR="00E42E3C">
        <w:t xml:space="preserve">shows that this is not always feasible. </w:t>
      </w:r>
      <w:r w:rsidR="00327B72" w:rsidRPr="00327B72">
        <w:t>Even if periodic CSI-RS resources are configured the cell detection is still based on SSB. Furthermore, CSI-RS based mobility requirements are applicable</w:t>
      </w:r>
      <w:r w:rsidR="00E42E3C">
        <w:t xml:space="preserve"> only</w:t>
      </w:r>
      <w:r w:rsidR="00327B72" w:rsidRPr="00327B72">
        <w:t xml:space="preserve"> under </w:t>
      </w:r>
      <w:r w:rsidR="00D32EC5">
        <w:t xml:space="preserve">certain </w:t>
      </w:r>
      <w:r w:rsidR="00327B72" w:rsidRPr="00327B72">
        <w:t>constrains (section 9.10.2.5, 38.133)</w:t>
      </w:r>
      <w:r w:rsidR="00D32EC5">
        <w:t xml:space="preserve">. </w:t>
      </w:r>
      <w:r w:rsidR="00E662E1">
        <w:t xml:space="preserve">Furthermore, the </w:t>
      </w:r>
      <w:r w:rsidR="00D31786">
        <w:t>u</w:t>
      </w:r>
      <w:r w:rsidR="00E662E1" w:rsidRPr="00E662E1">
        <w:t xml:space="preserve">se of measurement gaps for the RF retuning may not be possible since </w:t>
      </w:r>
      <w:r w:rsidR="00E662E1">
        <w:t xml:space="preserve">RedCap </w:t>
      </w:r>
      <w:r w:rsidR="00E662E1" w:rsidRPr="00E662E1">
        <w:t xml:space="preserve">non-initial BWP can be configured in </w:t>
      </w:r>
      <w:r w:rsidR="00E662E1">
        <w:t>idle</w:t>
      </w:r>
      <w:r w:rsidR="00E662E1" w:rsidRPr="00E662E1">
        <w:t xml:space="preserve"> state.</w:t>
      </w:r>
      <w:r w:rsidR="00E662E1">
        <w:t xml:space="preserve"> </w:t>
      </w:r>
    </w:p>
    <w:p w14:paraId="14281B4D" w14:textId="1FC715F0" w:rsidR="00EA5611" w:rsidRDefault="00EA5611" w:rsidP="00A11EC1">
      <w:pPr>
        <w:jc w:val="both"/>
      </w:pPr>
      <w:r>
        <w:t>Based on the above discussion, we have the following observation and proposal:</w:t>
      </w:r>
    </w:p>
    <w:p w14:paraId="75A15984" w14:textId="47822829" w:rsidR="00203BF1" w:rsidRPr="00792F7C" w:rsidRDefault="00C21A12" w:rsidP="00792F7C">
      <w:pPr>
        <w:pStyle w:val="Proposal"/>
      </w:pPr>
      <w:bookmarkStart w:id="88" w:name="_Toc87060648"/>
      <w:r>
        <w:t>For an RRC-configured active DL BWP in connected mode,</w:t>
      </w:r>
      <w:r w:rsidR="00C26311">
        <w:t xml:space="preserve"> RedCap UE expects it to contain </w:t>
      </w:r>
      <w:r w:rsidR="00AC20F5">
        <w:t>an</w:t>
      </w:r>
      <w:r w:rsidR="0082232A">
        <w:t xml:space="preserve"> NCD-</w:t>
      </w:r>
      <w:r w:rsidR="00AC20F5">
        <w:t>SSB</w:t>
      </w:r>
      <w:r w:rsidR="00B03A30">
        <w:t xml:space="preserve"> (upon RAN2/4 approval)</w:t>
      </w:r>
      <w:r w:rsidR="00C26311" w:rsidRPr="00C26311">
        <w:t xml:space="preserve"> for serving cell but not CORESET#0/SIB</w:t>
      </w:r>
      <w:r w:rsidR="00C26311">
        <w:t>.</w:t>
      </w:r>
      <w:bookmarkEnd w:id="88"/>
    </w:p>
    <w:p w14:paraId="4E57E1B7" w14:textId="787AFE62" w:rsidR="003C3CD7" w:rsidRDefault="00F43025" w:rsidP="00792F7C">
      <w:pPr>
        <w:jc w:val="both"/>
        <w:rPr>
          <w:lang w:val="en-GB" w:eastAsia="ja-JP"/>
        </w:rPr>
      </w:pPr>
      <w:r>
        <w:rPr>
          <w:lang w:val="en-GB" w:eastAsia="ja-JP"/>
        </w:rPr>
        <w:t>Note that the above observations</w:t>
      </w:r>
      <w:r w:rsidR="0024146A">
        <w:rPr>
          <w:lang w:val="en-GB" w:eastAsia="ja-JP"/>
        </w:rPr>
        <w:t xml:space="preserve"> and proposals </w:t>
      </w:r>
      <w:r w:rsidR="000F27F0">
        <w:rPr>
          <w:lang w:val="en-GB" w:eastAsia="ja-JP"/>
        </w:rPr>
        <w:t xml:space="preserve">are applicable </w:t>
      </w:r>
      <w:r w:rsidR="0024146A">
        <w:rPr>
          <w:lang w:val="en-GB" w:eastAsia="ja-JP"/>
        </w:rPr>
        <w:t>to both FR1 and FR2.</w:t>
      </w:r>
      <w:r w:rsidR="00C96C96">
        <w:rPr>
          <w:lang w:val="en-GB" w:eastAsia="ja-JP"/>
        </w:rPr>
        <w:t xml:space="preserve"> Moreover, </w:t>
      </w:r>
      <w:r w:rsidR="007021EA">
        <w:rPr>
          <w:lang w:val="en-GB" w:eastAsia="ja-JP"/>
        </w:rPr>
        <w:t xml:space="preserve">since </w:t>
      </w:r>
      <w:r w:rsidR="00C239E1">
        <w:rPr>
          <w:lang w:val="en-GB" w:eastAsia="ja-JP"/>
        </w:rPr>
        <w:t>in FDD</w:t>
      </w:r>
      <w:r w:rsidR="003A2839">
        <w:rPr>
          <w:lang w:val="en-GB" w:eastAsia="ja-JP"/>
        </w:rPr>
        <w:t xml:space="preserve"> </w:t>
      </w:r>
      <w:r w:rsidR="00AA28A4">
        <w:rPr>
          <w:lang w:val="en-GB" w:eastAsia="ja-JP"/>
        </w:rPr>
        <w:t xml:space="preserve">the DL BWP does not need to be </w:t>
      </w:r>
      <w:r w:rsidR="003A2839">
        <w:rPr>
          <w:lang w:val="en-GB" w:eastAsia="ja-JP"/>
        </w:rPr>
        <w:t xml:space="preserve">placed at the carrier edge it </w:t>
      </w:r>
      <w:r w:rsidR="00AA28A4">
        <w:rPr>
          <w:lang w:val="en-GB" w:eastAsia="ja-JP"/>
        </w:rPr>
        <w:t xml:space="preserve">can always contain </w:t>
      </w:r>
      <w:r w:rsidR="003A2839">
        <w:rPr>
          <w:lang w:val="en-GB" w:eastAsia="ja-JP"/>
        </w:rPr>
        <w:t xml:space="preserve">the </w:t>
      </w:r>
      <w:r w:rsidR="00AA28A4">
        <w:rPr>
          <w:lang w:val="en-GB" w:eastAsia="ja-JP"/>
        </w:rPr>
        <w:t>CD-SSB</w:t>
      </w:r>
      <w:r w:rsidR="003A2839">
        <w:rPr>
          <w:lang w:val="en-GB" w:eastAsia="ja-JP"/>
        </w:rPr>
        <w:t xml:space="preserve">. Therefore, </w:t>
      </w:r>
      <w:r w:rsidR="00C07E5B">
        <w:rPr>
          <w:lang w:val="en-GB" w:eastAsia="ja-JP"/>
        </w:rPr>
        <w:t>the discussions on the presence of the SSB in a DL BWP mainly concern TDD scenarios.</w:t>
      </w:r>
    </w:p>
    <w:p w14:paraId="5C605C60" w14:textId="77777777" w:rsidR="003C3CD7" w:rsidRDefault="003C3CD7" w:rsidP="00792F7C">
      <w:pPr>
        <w:jc w:val="both"/>
        <w:rPr>
          <w:lang w:val="en-GB" w:eastAsia="ja-JP"/>
        </w:rPr>
      </w:pPr>
      <w:r>
        <w:rPr>
          <w:lang w:val="en-GB" w:eastAsia="ja-JP"/>
        </w:rPr>
        <w:t>Based on the above discussions, we have the following compromised proposal regarding transmission of additional SSBs for RedCap.</w:t>
      </w:r>
    </w:p>
    <w:p w14:paraId="77C4B9DF" w14:textId="0F96D51B" w:rsidR="003C3CD7" w:rsidRDefault="003C3CD7" w:rsidP="003C3CD7">
      <w:pPr>
        <w:pStyle w:val="Proposal"/>
        <w:rPr>
          <w:lang w:val="en-GB"/>
        </w:rPr>
      </w:pPr>
      <w:bookmarkStart w:id="89" w:name="_Toc87060649"/>
      <w:r>
        <w:rPr>
          <w:lang w:val="en-GB"/>
        </w:rPr>
        <w:t>Regarding SSB transmissions in a RedCap DL BWP</w:t>
      </w:r>
      <w:r w:rsidR="0024146A">
        <w:rPr>
          <w:lang w:val="en-GB"/>
        </w:rPr>
        <w:t xml:space="preserve"> in</w:t>
      </w:r>
      <w:r w:rsidR="00AA1AAA">
        <w:rPr>
          <w:lang w:val="en-GB"/>
        </w:rPr>
        <w:t xml:space="preserve"> TDD for FR1</w:t>
      </w:r>
      <w:r>
        <w:rPr>
          <w:lang w:val="en-GB"/>
        </w:rPr>
        <w:t>:</w:t>
      </w:r>
      <w:bookmarkEnd w:id="89"/>
      <w:r>
        <w:rPr>
          <w:lang w:val="en-GB"/>
        </w:rPr>
        <w:t xml:space="preserve"> </w:t>
      </w:r>
    </w:p>
    <w:p w14:paraId="653ED27A" w14:textId="77777777" w:rsidR="0080118D" w:rsidRDefault="003C3CD7" w:rsidP="0080118D">
      <w:pPr>
        <w:pStyle w:val="Proposal"/>
        <w:numPr>
          <w:ilvl w:val="0"/>
          <w:numId w:val="29"/>
        </w:numPr>
        <w:rPr>
          <w:lang w:val="en-GB"/>
        </w:rPr>
      </w:pPr>
      <w:bookmarkStart w:id="90" w:name="_Toc87060650"/>
      <w:r w:rsidRPr="0004480B">
        <w:rPr>
          <w:lang w:val="en-GB"/>
        </w:rPr>
        <w:t>For a separate initial DL BWP (if it does not include CD-SSB and the entire CORESET#0)</w:t>
      </w:r>
      <w:r>
        <w:rPr>
          <w:lang w:val="en-GB"/>
        </w:rPr>
        <w:t>:</w:t>
      </w:r>
      <w:bookmarkEnd w:id="90"/>
    </w:p>
    <w:p w14:paraId="26C4BB97" w14:textId="77777777" w:rsidR="0080118D" w:rsidRDefault="003C3CD7" w:rsidP="007537BD">
      <w:pPr>
        <w:pStyle w:val="Proposal"/>
        <w:numPr>
          <w:ilvl w:val="1"/>
          <w:numId w:val="29"/>
        </w:numPr>
        <w:rPr>
          <w:lang w:val="en-GB"/>
        </w:rPr>
      </w:pPr>
      <w:bookmarkStart w:id="91" w:name="_Toc87060651"/>
      <w:r w:rsidRPr="0080118D">
        <w:rPr>
          <w:lang w:val="en-GB"/>
        </w:rPr>
        <w:t>If it is configured for random access while not for paging in idle/inactive mode, RedCap UE does NOT expect it to contain SSB/CORESET#0/SIB.</w:t>
      </w:r>
      <w:bookmarkEnd w:id="91"/>
    </w:p>
    <w:p w14:paraId="0DFC13EE" w14:textId="77777777" w:rsidR="0080118D" w:rsidRDefault="003C3CD7" w:rsidP="0080118D">
      <w:pPr>
        <w:pStyle w:val="Proposal"/>
        <w:numPr>
          <w:ilvl w:val="1"/>
          <w:numId w:val="29"/>
        </w:numPr>
        <w:rPr>
          <w:lang w:val="en-GB"/>
        </w:rPr>
      </w:pPr>
      <w:bookmarkStart w:id="92" w:name="_Toc87060652"/>
      <w:r w:rsidRPr="0080118D">
        <w:rPr>
          <w:lang w:val="en-GB"/>
        </w:rPr>
        <w:lastRenderedPageBreak/>
        <w:t>If it is configured for paging, RedCap UE expects it to contain NCD-SSB for serving cell but not CORESET#0/SIB.</w:t>
      </w:r>
      <w:bookmarkEnd w:id="92"/>
    </w:p>
    <w:p w14:paraId="7E4ABE7D" w14:textId="3A634934" w:rsidR="003C3CD7" w:rsidRPr="0080118D" w:rsidRDefault="003C3CD7" w:rsidP="001C497A">
      <w:pPr>
        <w:pStyle w:val="Proposal"/>
        <w:numPr>
          <w:ilvl w:val="0"/>
          <w:numId w:val="29"/>
        </w:numPr>
        <w:rPr>
          <w:lang w:val="en-GB"/>
        </w:rPr>
      </w:pPr>
      <w:bookmarkStart w:id="93" w:name="_Toc87060653"/>
      <w:r w:rsidRPr="0080118D">
        <w:rPr>
          <w:lang w:val="en-GB"/>
        </w:rPr>
        <w:t>For an RRC-configured active DL BWP in connected mode (if it does not include CD-SSB and the entire CORESET#0):</w:t>
      </w:r>
      <w:bookmarkEnd w:id="93"/>
    </w:p>
    <w:p w14:paraId="147AB434" w14:textId="77777777" w:rsidR="003C3CD7" w:rsidRPr="004E5085" w:rsidRDefault="003C3CD7" w:rsidP="001925A8">
      <w:pPr>
        <w:pStyle w:val="Proposal"/>
        <w:numPr>
          <w:ilvl w:val="1"/>
          <w:numId w:val="29"/>
        </w:numPr>
        <w:rPr>
          <w:lang w:val="en-GB"/>
        </w:rPr>
      </w:pPr>
      <w:bookmarkStart w:id="94" w:name="_Toc87060654"/>
      <w:r w:rsidRPr="004E5085">
        <w:rPr>
          <w:lang w:val="en-GB"/>
        </w:rPr>
        <w:t>RedCap UE expects it to contain NCD-SSB for serving cell but not CORESET#0/SIB.</w:t>
      </w:r>
      <w:bookmarkEnd w:id="94"/>
    </w:p>
    <w:p w14:paraId="52A9B957" w14:textId="2CE38875" w:rsidR="00BD3C9D" w:rsidRPr="00277B28" w:rsidRDefault="003C3CD7" w:rsidP="00277B28">
      <w:pPr>
        <w:pStyle w:val="Proposal"/>
        <w:numPr>
          <w:ilvl w:val="0"/>
          <w:numId w:val="29"/>
        </w:numPr>
        <w:rPr>
          <w:lang w:val="en-GB"/>
        </w:rPr>
      </w:pPr>
      <w:bookmarkStart w:id="95" w:name="_Toc87060655"/>
      <w:r>
        <w:rPr>
          <w:lang w:val="en-GB"/>
        </w:rPr>
        <w:t xml:space="preserve">In TDD, whether an additional SSB is transmitted in a separate initial DL BWP for RedCap </w:t>
      </w:r>
      <w:r w:rsidR="006D3D0F">
        <w:rPr>
          <w:lang w:val="en-GB"/>
        </w:rPr>
        <w:t>is</w:t>
      </w:r>
      <w:r>
        <w:rPr>
          <w:lang w:val="en-GB"/>
        </w:rPr>
        <w:t xml:space="preserve"> based on </w:t>
      </w:r>
      <w:r w:rsidRPr="001C63A3">
        <w:rPr>
          <w:lang w:val="en-GB"/>
        </w:rPr>
        <w:t>SSB monitoring periodicity (i.e., SMTC configuration) and DRX cycle</w:t>
      </w:r>
      <w:r>
        <w:rPr>
          <w:lang w:val="en-GB"/>
        </w:rPr>
        <w:t>.</w:t>
      </w:r>
      <w:bookmarkEnd w:id="95"/>
    </w:p>
    <w:p w14:paraId="07DAB5E8" w14:textId="77777777" w:rsidR="00BD3C9D" w:rsidRDefault="00BD3C9D" w:rsidP="002C2C66">
      <w:pPr>
        <w:rPr>
          <w:lang w:val="en-GB" w:eastAsia="ja-JP"/>
        </w:rPr>
      </w:pPr>
    </w:p>
    <w:p w14:paraId="2F654DA4" w14:textId="3CBB0CE6" w:rsidR="003C3CD7" w:rsidRDefault="008F43E4" w:rsidP="002C2C66">
      <w:pPr>
        <w:rPr>
          <w:lang w:val="en-GB" w:eastAsia="ja-JP"/>
        </w:rPr>
      </w:pPr>
      <w:r>
        <w:rPr>
          <w:lang w:val="en-GB" w:eastAsia="ja-JP"/>
        </w:rPr>
        <w:t>It should be noted</w:t>
      </w:r>
      <w:r w:rsidR="007478F0">
        <w:rPr>
          <w:lang w:val="en-GB" w:eastAsia="ja-JP"/>
        </w:rPr>
        <w:t xml:space="preserve"> that depending on RAN</w:t>
      </w:r>
      <w:r w:rsidR="00852835">
        <w:rPr>
          <w:lang w:val="en-GB" w:eastAsia="ja-JP"/>
        </w:rPr>
        <w:t xml:space="preserve">2/4 feedback on the feasibility of using NCD SSB, the fall-back option </w:t>
      </w:r>
      <w:r>
        <w:rPr>
          <w:lang w:val="en-GB" w:eastAsia="ja-JP"/>
        </w:rPr>
        <w:t>regarding the presence of SSBs in RedCap DL BWPs should be Option 1.</w:t>
      </w:r>
    </w:p>
    <w:p w14:paraId="2D8085DF" w14:textId="5FCB8639" w:rsidR="00F31CC0" w:rsidRDefault="008F0FF4" w:rsidP="002C2410">
      <w:pPr>
        <w:pStyle w:val="Proposal"/>
        <w:rPr>
          <w:lang w:val="en-GB"/>
        </w:rPr>
      </w:pPr>
      <w:bookmarkStart w:id="96" w:name="_Toc87060656"/>
      <w:r>
        <w:rPr>
          <w:lang w:val="en-GB" w:eastAsia="ja-JP"/>
        </w:rPr>
        <w:t xml:space="preserve">Depending on RAN2/4 feedback on the feasibility of using NCD SSB, </w:t>
      </w:r>
      <w:r w:rsidR="00B32307">
        <w:rPr>
          <w:lang w:val="en-GB" w:eastAsia="ja-JP"/>
        </w:rPr>
        <w:t>consider the following</w:t>
      </w:r>
      <w:r>
        <w:rPr>
          <w:lang w:val="en-GB" w:eastAsia="ja-JP"/>
        </w:rPr>
        <w:t xml:space="preserve"> fall-back option</w:t>
      </w:r>
      <w:r w:rsidR="00A021DB">
        <w:rPr>
          <w:lang w:val="en-GB" w:eastAsia="ja-JP"/>
        </w:rPr>
        <w:t>s</w:t>
      </w:r>
      <w:r>
        <w:rPr>
          <w:lang w:val="en-GB" w:eastAsia="ja-JP"/>
        </w:rPr>
        <w:t xml:space="preserve"> regarding the presence of SSBs in RedCap DL BWPs</w:t>
      </w:r>
      <w:r w:rsidR="00F31CC0">
        <w:rPr>
          <w:lang w:val="en-GB" w:eastAsia="ja-JP"/>
        </w:rPr>
        <w:t>:</w:t>
      </w:r>
      <w:bookmarkEnd w:id="96"/>
      <w:r>
        <w:rPr>
          <w:lang w:val="en-GB" w:eastAsia="ja-JP"/>
        </w:rPr>
        <w:t xml:space="preserve"> </w:t>
      </w:r>
    </w:p>
    <w:p w14:paraId="48FF6F26" w14:textId="3D20D63A" w:rsidR="003B64A6" w:rsidRPr="006F58B6" w:rsidRDefault="003B64A6" w:rsidP="00C742C6">
      <w:pPr>
        <w:pStyle w:val="Proposal"/>
        <w:numPr>
          <w:ilvl w:val="0"/>
          <w:numId w:val="34"/>
        </w:numPr>
        <w:rPr>
          <w:lang w:val="en-GB" w:eastAsia="ja-JP"/>
        </w:rPr>
      </w:pPr>
      <w:bookmarkStart w:id="97" w:name="_Toc87060657"/>
      <w:r w:rsidRPr="006F58B6">
        <w:rPr>
          <w:lang w:val="en-GB" w:eastAsia="ja-JP"/>
        </w:rPr>
        <w:t xml:space="preserve">If using NCD-SSB is not feasible in idle/inactive but feasible in connected mode, the initial DL BWP </w:t>
      </w:r>
      <w:r w:rsidR="0005375E" w:rsidRPr="006F58B6">
        <w:rPr>
          <w:lang w:val="en-GB" w:eastAsia="ja-JP"/>
        </w:rPr>
        <w:t>should</w:t>
      </w:r>
      <w:r w:rsidRPr="006F58B6">
        <w:rPr>
          <w:lang w:val="en-GB" w:eastAsia="ja-JP"/>
        </w:rPr>
        <w:t xml:space="preserve"> not contain paging CSS thus it does NOT expect it to contain SSB/CORESET#0/SIB</w:t>
      </w:r>
      <w:r w:rsidR="0005375E" w:rsidRPr="006F58B6">
        <w:rPr>
          <w:lang w:val="en-GB" w:eastAsia="ja-JP"/>
        </w:rPr>
        <w:t>. For an RRC-configured active DL BWP in connected mode, RedCap UE expects it to contain an NCD-SSB for serving cell but not CORESET#0/SIB.</w:t>
      </w:r>
      <w:bookmarkEnd w:id="97"/>
    </w:p>
    <w:p w14:paraId="5DB287BB" w14:textId="73E0BA56" w:rsidR="007478F0" w:rsidRPr="006F58B6" w:rsidRDefault="00C151A1" w:rsidP="00C742C6">
      <w:pPr>
        <w:pStyle w:val="Proposal"/>
        <w:numPr>
          <w:ilvl w:val="0"/>
          <w:numId w:val="34"/>
        </w:numPr>
        <w:rPr>
          <w:lang w:val="en-GB" w:eastAsia="ja-JP"/>
        </w:rPr>
      </w:pPr>
      <w:bookmarkStart w:id="98" w:name="_Toc87060658"/>
      <w:r w:rsidRPr="006F58B6">
        <w:rPr>
          <w:lang w:val="en-GB" w:eastAsia="ja-JP"/>
        </w:rPr>
        <w:t>I</w:t>
      </w:r>
      <w:r w:rsidR="00F31CC0" w:rsidRPr="006F58B6">
        <w:rPr>
          <w:lang w:val="en-GB" w:eastAsia="ja-JP"/>
        </w:rPr>
        <w:t xml:space="preserve">f </w:t>
      </w:r>
      <w:r w:rsidR="00B32307" w:rsidRPr="006F58B6">
        <w:rPr>
          <w:lang w:val="en-GB" w:eastAsia="ja-JP"/>
        </w:rPr>
        <w:t xml:space="preserve">using </w:t>
      </w:r>
      <w:r w:rsidR="00F31CC0" w:rsidRPr="006F58B6">
        <w:rPr>
          <w:lang w:val="en-GB" w:eastAsia="ja-JP"/>
        </w:rPr>
        <w:t xml:space="preserve">NCD-SSB </w:t>
      </w:r>
      <w:r w:rsidR="00B32307" w:rsidRPr="006F58B6">
        <w:rPr>
          <w:lang w:val="en-GB" w:eastAsia="ja-JP"/>
        </w:rPr>
        <w:t>is not feasible in idle/inactive and connected modes</w:t>
      </w:r>
      <w:r w:rsidRPr="006F58B6">
        <w:rPr>
          <w:lang w:val="en-GB" w:eastAsia="ja-JP"/>
        </w:rPr>
        <w:t>, Option 1 is the fall-back option</w:t>
      </w:r>
      <w:r w:rsidR="0005375E" w:rsidRPr="006F58B6">
        <w:rPr>
          <w:lang w:val="en-GB" w:eastAsia="ja-JP"/>
        </w:rPr>
        <w:t xml:space="preserve"> </w:t>
      </w:r>
      <w:r w:rsidR="00A20753" w:rsidRPr="006F58B6">
        <w:rPr>
          <w:lang w:val="en-GB" w:eastAsia="ja-JP"/>
        </w:rPr>
        <w:t xml:space="preserve">for which </w:t>
      </w:r>
      <w:r w:rsidR="00907CFE" w:rsidRPr="006F58B6">
        <w:rPr>
          <w:lang w:val="en-GB" w:eastAsia="ja-JP"/>
        </w:rPr>
        <w:t>the RedCap UE does NOT expect its DL BWP to always contain SSB/CORESET#0/SIB</w:t>
      </w:r>
      <w:r w:rsidRPr="006F58B6">
        <w:rPr>
          <w:lang w:val="en-GB" w:eastAsia="ja-JP"/>
        </w:rPr>
        <w:t>.</w:t>
      </w:r>
      <w:bookmarkEnd w:id="98"/>
    </w:p>
    <w:p w14:paraId="13E09F1A" w14:textId="7AA3A617" w:rsidR="00277B28" w:rsidRDefault="00277B28" w:rsidP="006F58B6">
      <w:pPr>
        <w:rPr>
          <w:b/>
          <w:bCs/>
          <w:lang w:val="en-GB" w:eastAsia="ja-JP"/>
        </w:rPr>
      </w:pPr>
    </w:p>
    <w:p w14:paraId="24D53C28" w14:textId="642EFD93" w:rsidR="00277B28" w:rsidRDefault="00277B28" w:rsidP="006F58B6">
      <w:pPr>
        <w:rPr>
          <w:b/>
          <w:bCs/>
          <w:lang w:val="en-GB" w:eastAsia="ja-JP"/>
        </w:rPr>
      </w:pPr>
      <w:r>
        <w:rPr>
          <w:lang w:val="en-GB" w:eastAsia="ja-JP"/>
        </w:rPr>
        <w:t>As we previously discussed</w:t>
      </w:r>
      <w:r w:rsidR="00A15375">
        <w:rPr>
          <w:lang w:val="en-GB" w:eastAsia="ja-JP"/>
        </w:rPr>
        <w:t xml:space="preserve"> the overhead of </w:t>
      </w:r>
      <w:r w:rsidR="00660F1F">
        <w:rPr>
          <w:lang w:val="en-GB" w:eastAsia="ja-JP"/>
        </w:rPr>
        <w:t>additional SSB transmissions i</w:t>
      </w:r>
      <w:r w:rsidR="00D82F42">
        <w:rPr>
          <w:lang w:val="en-GB" w:eastAsia="ja-JP"/>
        </w:rPr>
        <w:t xml:space="preserve">s significant in FR2. In particular, in FR2 </w:t>
      </w:r>
      <w:r w:rsidR="00D82F42">
        <w:t xml:space="preserve">with </w:t>
      </w:r>
      <w:r w:rsidR="000360E4">
        <w:rPr>
          <w:lang w:val="en-GB" w:eastAsia="ja-JP"/>
        </w:rPr>
        <w:t>analogue beamforming</w:t>
      </w:r>
      <w:r w:rsidR="000360E4">
        <w:t xml:space="preserve"> where </w:t>
      </w:r>
      <w:r w:rsidR="00D82F42">
        <w:t>up to 64 SSBs</w:t>
      </w:r>
      <w:r w:rsidR="00BE6D04">
        <w:t xml:space="preserve"> </w:t>
      </w:r>
      <w:r w:rsidR="000360E4">
        <w:t xml:space="preserve">can be transmitted, the additional overhead can be over 21%. </w:t>
      </w:r>
      <w:r w:rsidR="005D2B38">
        <w:t>Due to</w:t>
      </w:r>
      <w:r w:rsidR="00966A8F">
        <w:t xml:space="preserve"> such </w:t>
      </w:r>
      <w:r w:rsidR="00966A8F" w:rsidRPr="00566CF8">
        <w:t>significant overhead, increased inter-cell interference, and reduced network energy/spectral efficiency</w:t>
      </w:r>
      <w:r w:rsidR="00FE13AE">
        <w:t xml:space="preserve">, </w:t>
      </w:r>
      <w:r w:rsidR="0025380C">
        <w:t xml:space="preserve">additional SSBs should not be transmitted in FR2. Therefore, </w:t>
      </w:r>
      <w:r w:rsidR="002762A2">
        <w:t xml:space="preserve">we prefer </w:t>
      </w:r>
      <w:r w:rsidR="00C61D9C">
        <w:t xml:space="preserve">Option 1 </w:t>
      </w:r>
      <w:r w:rsidR="00F95A29">
        <w:t xml:space="preserve">regarding </w:t>
      </w:r>
      <w:r w:rsidR="00F95A29">
        <w:rPr>
          <w:lang w:val="en-GB" w:eastAsia="ja-JP"/>
        </w:rPr>
        <w:t>the presence of SSBs in RedCap DL BWPs in FR2.</w:t>
      </w:r>
    </w:p>
    <w:p w14:paraId="595706B5" w14:textId="2256657A" w:rsidR="00277B28" w:rsidRPr="003F73EE" w:rsidRDefault="00F95A29" w:rsidP="003F73EE">
      <w:pPr>
        <w:pStyle w:val="Proposal"/>
        <w:rPr>
          <w:lang w:val="en-GB"/>
        </w:rPr>
      </w:pPr>
      <w:bookmarkStart w:id="99" w:name="_Toc87060659"/>
      <w:r>
        <w:rPr>
          <w:lang w:val="en-GB"/>
        </w:rPr>
        <w:t>Regarding SSB transmissions in a RedCap DL BWP in FR2</w:t>
      </w:r>
      <w:r w:rsidR="00A91B7F">
        <w:rPr>
          <w:lang w:val="en-GB"/>
        </w:rPr>
        <w:t xml:space="preserve">, </w:t>
      </w:r>
      <w:r w:rsidR="00A91B7F" w:rsidRPr="00A91B7F">
        <w:rPr>
          <w:lang w:val="en-GB"/>
        </w:rPr>
        <w:t>Option 1 is</w:t>
      </w:r>
      <w:r w:rsidR="00A91B7F">
        <w:rPr>
          <w:lang w:val="en-GB"/>
        </w:rPr>
        <w:t xml:space="preserve"> considered</w:t>
      </w:r>
      <w:r w:rsidR="00A91B7F" w:rsidRPr="00A91B7F">
        <w:rPr>
          <w:lang w:val="en-GB"/>
        </w:rPr>
        <w:t xml:space="preserve"> for which the RedCap UE does NOT expect its DL BWP to always contain SSB/CORESET#0/SIB.</w:t>
      </w:r>
      <w:bookmarkEnd w:id="99"/>
    </w:p>
    <w:p w14:paraId="4AADB25C" w14:textId="77777777" w:rsidR="00277B28" w:rsidRPr="006F58B6" w:rsidRDefault="00277B28" w:rsidP="006F58B6">
      <w:pPr>
        <w:rPr>
          <w:b/>
          <w:bCs/>
          <w:lang w:val="en-GB" w:eastAsia="ja-JP"/>
        </w:rPr>
      </w:pPr>
    </w:p>
    <w:p w14:paraId="37C4EBAD" w14:textId="7E65E551" w:rsidR="003A4AB2" w:rsidRDefault="00ED3D9A" w:rsidP="00ED3D9A">
      <w:pPr>
        <w:pStyle w:val="Heading2"/>
      </w:pPr>
      <w:r>
        <w:t>3.4</w:t>
      </w:r>
      <w:r>
        <w:tab/>
        <w:t>SI updates</w:t>
      </w:r>
    </w:p>
    <w:p w14:paraId="089E423C" w14:textId="1391F3D1" w:rsidR="00A63217" w:rsidRDefault="00E140DB" w:rsidP="002C2C66">
      <w:pPr>
        <w:rPr>
          <w:rFonts w:cs="Arial"/>
          <w:szCs w:val="20"/>
        </w:rPr>
      </w:pPr>
      <w:r w:rsidRPr="00E140DB">
        <w:t>When there is SI update for a RedCap UE and the RedCap UE is operating in a DL BWP which does not include the entire CORESET#0</w:t>
      </w:r>
      <w:r w:rsidR="00A63217">
        <w:t>, different solutions can be considered</w:t>
      </w:r>
      <w:r w:rsidR="00ED0F4C">
        <w:rPr>
          <w:rFonts w:cs="Arial"/>
          <w:szCs w:val="20"/>
        </w:rPr>
        <w:t>:</w:t>
      </w:r>
      <w:r w:rsidR="00184662">
        <w:rPr>
          <w:rFonts w:cs="Arial"/>
          <w:szCs w:val="20"/>
        </w:rPr>
        <w:t xml:space="preserve"> </w:t>
      </w:r>
    </w:p>
    <w:p w14:paraId="614354B8" w14:textId="69BBE9E4" w:rsidR="003B05B1" w:rsidRPr="006A4719" w:rsidRDefault="003B05B1" w:rsidP="001925A8">
      <w:pPr>
        <w:pStyle w:val="ListParagraph"/>
        <w:numPr>
          <w:ilvl w:val="0"/>
          <w:numId w:val="28"/>
        </w:numPr>
        <w:rPr>
          <w:rFonts w:asciiTheme="minorBidi" w:hAnsiTheme="minorBidi"/>
          <w:szCs w:val="20"/>
        </w:rPr>
      </w:pPr>
      <w:r w:rsidRPr="006A4719">
        <w:rPr>
          <w:rFonts w:asciiTheme="minorBidi" w:hAnsiTheme="minorBidi"/>
          <w:sz w:val="20"/>
          <w:szCs w:val="18"/>
          <w:lang w:val="en-US"/>
        </w:rPr>
        <w:t xml:space="preserve">In RRC connected state, </w:t>
      </w:r>
      <w:r w:rsidR="00301B2C" w:rsidRPr="006A4719">
        <w:rPr>
          <w:rFonts w:asciiTheme="minorBidi" w:hAnsiTheme="minorBidi"/>
          <w:sz w:val="20"/>
          <w:szCs w:val="18"/>
          <w:lang w:val="en-US"/>
        </w:rPr>
        <w:t xml:space="preserve">dedicated SIB delivery </w:t>
      </w:r>
      <w:r w:rsidR="005A7210" w:rsidRPr="006A4719">
        <w:rPr>
          <w:rFonts w:asciiTheme="minorBidi" w:hAnsiTheme="minorBidi"/>
          <w:sz w:val="20"/>
          <w:szCs w:val="18"/>
          <w:lang w:val="en-US"/>
        </w:rPr>
        <w:t xml:space="preserve">via RRC signaling </w:t>
      </w:r>
      <w:r w:rsidR="00A83F40" w:rsidRPr="006A4719">
        <w:rPr>
          <w:rFonts w:asciiTheme="minorBidi" w:hAnsiTheme="minorBidi"/>
          <w:sz w:val="20"/>
          <w:szCs w:val="18"/>
          <w:lang w:val="en-US"/>
        </w:rPr>
        <w:t>or</w:t>
      </w:r>
      <w:r w:rsidR="00015A49" w:rsidRPr="006A4719">
        <w:rPr>
          <w:rFonts w:asciiTheme="minorBidi" w:hAnsiTheme="minorBidi"/>
          <w:sz w:val="20"/>
          <w:szCs w:val="18"/>
          <w:lang w:val="en-US"/>
        </w:rPr>
        <w:t xml:space="preserve"> paging notification if </w:t>
      </w:r>
      <w:r w:rsidR="006A4719" w:rsidRPr="006A4719">
        <w:rPr>
          <w:rFonts w:asciiTheme="minorBidi" w:hAnsiTheme="minorBidi"/>
          <w:sz w:val="20"/>
          <w:szCs w:val="18"/>
          <w:lang w:val="en-US"/>
        </w:rPr>
        <w:t>the DL BWP contains the paging CSS.</w:t>
      </w:r>
    </w:p>
    <w:p w14:paraId="1C056269" w14:textId="77777777" w:rsidR="00B93E92" w:rsidRPr="00B93E92" w:rsidRDefault="00BA661A" w:rsidP="001925A8">
      <w:pPr>
        <w:pStyle w:val="ListParagraph"/>
        <w:numPr>
          <w:ilvl w:val="0"/>
          <w:numId w:val="28"/>
        </w:numPr>
        <w:rPr>
          <w:rFonts w:asciiTheme="minorBidi" w:hAnsiTheme="minorBidi"/>
          <w:sz w:val="20"/>
          <w:szCs w:val="18"/>
        </w:rPr>
      </w:pPr>
      <w:r>
        <w:rPr>
          <w:rFonts w:asciiTheme="minorBidi" w:hAnsiTheme="minorBidi"/>
          <w:sz w:val="20"/>
          <w:szCs w:val="18"/>
          <w:lang w:val="en-US"/>
        </w:rPr>
        <w:t xml:space="preserve">In </w:t>
      </w:r>
      <w:r w:rsidRPr="00BA661A">
        <w:rPr>
          <w:rFonts w:asciiTheme="minorBidi" w:hAnsiTheme="minorBidi"/>
          <w:sz w:val="20"/>
          <w:szCs w:val="18"/>
        </w:rPr>
        <w:t>RRC idle/inactive</w:t>
      </w:r>
      <w:r>
        <w:rPr>
          <w:rFonts w:asciiTheme="minorBidi" w:hAnsiTheme="minorBidi"/>
          <w:sz w:val="20"/>
          <w:szCs w:val="18"/>
          <w:lang w:val="en-US"/>
        </w:rPr>
        <w:t xml:space="preserve"> state</w:t>
      </w:r>
      <w:r w:rsidR="00B93E92">
        <w:rPr>
          <w:rFonts w:asciiTheme="minorBidi" w:hAnsiTheme="minorBidi"/>
          <w:sz w:val="20"/>
          <w:szCs w:val="18"/>
          <w:lang w:val="en-US"/>
        </w:rPr>
        <w:t>:</w:t>
      </w:r>
    </w:p>
    <w:p w14:paraId="6908C04B" w14:textId="75B9CFC3" w:rsidR="006A4719" w:rsidRPr="00991FE6" w:rsidRDefault="006E6E91" w:rsidP="001925A8">
      <w:pPr>
        <w:pStyle w:val="ListParagraph"/>
        <w:numPr>
          <w:ilvl w:val="1"/>
          <w:numId w:val="28"/>
        </w:numPr>
        <w:rPr>
          <w:rFonts w:asciiTheme="minorBidi" w:hAnsiTheme="minorBidi"/>
          <w:sz w:val="20"/>
          <w:szCs w:val="20"/>
        </w:rPr>
      </w:pPr>
      <w:r w:rsidRPr="00991FE6">
        <w:rPr>
          <w:rFonts w:asciiTheme="minorBidi" w:hAnsiTheme="minorBidi"/>
          <w:sz w:val="20"/>
          <w:szCs w:val="20"/>
          <w:lang w:val="en-US"/>
        </w:rPr>
        <w:t xml:space="preserve">If the </w:t>
      </w:r>
      <w:r w:rsidR="0046583F" w:rsidRPr="00991FE6">
        <w:rPr>
          <w:rFonts w:asciiTheme="minorBidi" w:hAnsiTheme="minorBidi"/>
          <w:sz w:val="20"/>
          <w:szCs w:val="20"/>
          <w:lang w:val="en-US"/>
        </w:rPr>
        <w:t>initial DL</w:t>
      </w:r>
      <w:r w:rsidRPr="00991FE6">
        <w:rPr>
          <w:rFonts w:asciiTheme="minorBidi" w:hAnsiTheme="minorBidi"/>
          <w:sz w:val="20"/>
          <w:szCs w:val="20"/>
          <w:lang w:val="en-US"/>
        </w:rPr>
        <w:t xml:space="preserve"> BWP is configured with paging CSS, </w:t>
      </w:r>
      <w:r w:rsidR="00222B88" w:rsidRPr="00991FE6">
        <w:rPr>
          <w:rFonts w:asciiTheme="minorBidi" w:hAnsiTheme="minorBidi"/>
          <w:sz w:val="20"/>
          <w:szCs w:val="20"/>
        </w:rPr>
        <w:t xml:space="preserve">UE can expect to receive paging notification in </w:t>
      </w:r>
      <w:r w:rsidRPr="00991FE6">
        <w:rPr>
          <w:rFonts w:asciiTheme="minorBidi" w:hAnsiTheme="minorBidi"/>
          <w:sz w:val="20"/>
          <w:szCs w:val="20"/>
          <w:lang w:val="en-US"/>
        </w:rPr>
        <w:t>this initial DL BWP</w:t>
      </w:r>
      <w:r w:rsidR="00991FE6" w:rsidRPr="00991FE6">
        <w:rPr>
          <w:rFonts w:asciiTheme="minorBidi" w:hAnsiTheme="minorBidi"/>
          <w:sz w:val="20"/>
          <w:szCs w:val="20"/>
          <w:lang w:val="en-US"/>
        </w:rPr>
        <w:t>. Consequently, it can retune to CORESET #0 to read SIB1 when there is SI update notification in the paging DCI configurations</w:t>
      </w:r>
      <w:r w:rsidR="00991FE6">
        <w:rPr>
          <w:rFonts w:asciiTheme="minorBidi" w:hAnsiTheme="minorBidi"/>
          <w:sz w:val="20"/>
          <w:szCs w:val="20"/>
          <w:lang w:val="en-US"/>
        </w:rPr>
        <w:t>.</w:t>
      </w:r>
    </w:p>
    <w:p w14:paraId="6331A43E" w14:textId="06E7173C" w:rsidR="00EF7C7B" w:rsidRPr="00991FE6" w:rsidRDefault="006E6E91" w:rsidP="001925A8">
      <w:pPr>
        <w:pStyle w:val="ListParagraph"/>
        <w:numPr>
          <w:ilvl w:val="1"/>
          <w:numId w:val="28"/>
        </w:numPr>
        <w:rPr>
          <w:rFonts w:asciiTheme="minorBidi" w:hAnsiTheme="minorBidi"/>
          <w:sz w:val="20"/>
          <w:szCs w:val="20"/>
        </w:rPr>
      </w:pPr>
      <w:r w:rsidRPr="00991FE6">
        <w:rPr>
          <w:rFonts w:asciiTheme="minorBidi" w:hAnsiTheme="minorBidi"/>
          <w:sz w:val="20"/>
          <w:szCs w:val="20"/>
          <w:lang w:val="en-US"/>
        </w:rPr>
        <w:t xml:space="preserve">If the </w:t>
      </w:r>
      <w:r w:rsidR="0046583F" w:rsidRPr="00991FE6">
        <w:rPr>
          <w:rFonts w:asciiTheme="minorBidi" w:hAnsiTheme="minorBidi"/>
          <w:sz w:val="20"/>
          <w:szCs w:val="20"/>
          <w:lang w:val="en-US"/>
        </w:rPr>
        <w:t>initial DL</w:t>
      </w:r>
      <w:r w:rsidRPr="00991FE6">
        <w:rPr>
          <w:rFonts w:asciiTheme="minorBidi" w:hAnsiTheme="minorBidi"/>
          <w:sz w:val="20"/>
          <w:szCs w:val="20"/>
          <w:lang w:val="en-US"/>
        </w:rPr>
        <w:t xml:space="preserve"> BWP is configured without paging CSS, UE can retune to CORESET #0 </w:t>
      </w:r>
      <w:r w:rsidR="00C30DFD" w:rsidRPr="00991FE6">
        <w:rPr>
          <w:rFonts w:asciiTheme="minorBidi" w:hAnsiTheme="minorBidi"/>
          <w:sz w:val="20"/>
          <w:szCs w:val="20"/>
          <w:lang w:val="en-US"/>
        </w:rPr>
        <w:t>for SI update notification</w:t>
      </w:r>
      <w:r w:rsidRPr="00991FE6">
        <w:rPr>
          <w:rFonts w:asciiTheme="minorBidi" w:hAnsiTheme="minorBidi"/>
          <w:sz w:val="20"/>
          <w:szCs w:val="20"/>
          <w:lang w:val="en-US"/>
        </w:rPr>
        <w:t xml:space="preserve"> read</w:t>
      </w:r>
      <w:r w:rsidR="00C30DFD" w:rsidRPr="00991FE6">
        <w:rPr>
          <w:rFonts w:asciiTheme="minorBidi" w:hAnsiTheme="minorBidi"/>
          <w:sz w:val="20"/>
          <w:szCs w:val="20"/>
          <w:lang w:val="en-US"/>
        </w:rPr>
        <w:t>ing</w:t>
      </w:r>
      <w:r w:rsidRPr="00991FE6">
        <w:rPr>
          <w:rFonts w:asciiTheme="minorBidi" w:hAnsiTheme="minorBidi"/>
          <w:sz w:val="20"/>
          <w:szCs w:val="20"/>
          <w:lang w:val="en-US"/>
        </w:rPr>
        <w:t xml:space="preserve"> SIB1</w:t>
      </w:r>
      <w:r w:rsidR="00317EF8" w:rsidRPr="00991FE6">
        <w:rPr>
          <w:rFonts w:asciiTheme="minorBidi" w:hAnsiTheme="minorBidi"/>
          <w:sz w:val="20"/>
          <w:szCs w:val="20"/>
          <w:lang w:val="en-US"/>
        </w:rPr>
        <w:t>.</w:t>
      </w:r>
    </w:p>
    <w:p w14:paraId="32FC37F5" w14:textId="6898BDAC" w:rsidR="006A4719" w:rsidRDefault="006A4719" w:rsidP="006A4719">
      <w:pPr>
        <w:rPr>
          <w:rFonts w:cs="Arial"/>
          <w:szCs w:val="20"/>
        </w:rPr>
      </w:pPr>
    </w:p>
    <w:p w14:paraId="46B1620D" w14:textId="57D6116D" w:rsidR="006A4719" w:rsidRDefault="00991FE6" w:rsidP="006A4719">
      <w:pPr>
        <w:rPr>
          <w:rFonts w:cs="Arial"/>
          <w:szCs w:val="20"/>
        </w:rPr>
      </w:pPr>
      <w:r>
        <w:rPr>
          <w:rFonts w:cs="Arial"/>
          <w:szCs w:val="20"/>
        </w:rPr>
        <w:t xml:space="preserve">Note that, according to the current specifications, </w:t>
      </w:r>
      <w:r w:rsidR="006A4719" w:rsidRPr="006A4719">
        <w:rPr>
          <w:rFonts w:cs="Arial"/>
          <w:szCs w:val="20"/>
        </w:rPr>
        <w:t>UEs in RRC</w:t>
      </w:r>
      <w:r w:rsidR="0046583F">
        <w:rPr>
          <w:rFonts w:cs="Arial"/>
          <w:szCs w:val="20"/>
        </w:rPr>
        <w:t xml:space="preserve"> </w:t>
      </w:r>
      <w:r w:rsidR="00317EF8">
        <w:rPr>
          <w:rFonts w:cs="Arial"/>
          <w:szCs w:val="20"/>
        </w:rPr>
        <w:t>idle</w:t>
      </w:r>
      <w:r w:rsidR="006A4719" w:rsidRPr="006A4719">
        <w:rPr>
          <w:rFonts w:cs="Arial"/>
          <w:szCs w:val="20"/>
        </w:rPr>
        <w:t xml:space="preserve"> or in RRC</w:t>
      </w:r>
      <w:r w:rsidR="0046583F">
        <w:rPr>
          <w:rFonts w:cs="Arial"/>
          <w:szCs w:val="20"/>
        </w:rPr>
        <w:t xml:space="preserve"> </w:t>
      </w:r>
      <w:r w:rsidR="00317EF8">
        <w:rPr>
          <w:rFonts w:cs="Arial"/>
          <w:szCs w:val="20"/>
        </w:rPr>
        <w:t>inactive</w:t>
      </w:r>
      <w:r w:rsidR="006A4719" w:rsidRPr="006A4719">
        <w:rPr>
          <w:rFonts w:cs="Arial"/>
          <w:szCs w:val="20"/>
        </w:rPr>
        <w:t xml:space="preserve"> shall monitor for SI change indication in its own paging occasion every DRX cycle. UEs in RRC</w:t>
      </w:r>
      <w:r w:rsidR="0046583F">
        <w:rPr>
          <w:rFonts w:cs="Arial"/>
          <w:szCs w:val="20"/>
        </w:rPr>
        <w:t xml:space="preserve"> connected</w:t>
      </w:r>
      <w:r w:rsidR="006A4719" w:rsidRPr="006A4719">
        <w:rPr>
          <w:rFonts w:cs="Arial"/>
          <w:szCs w:val="20"/>
        </w:rPr>
        <w:t xml:space="preserve"> shall monitor for SI </w:t>
      </w:r>
      <w:r w:rsidR="006A4719" w:rsidRPr="006A4719">
        <w:rPr>
          <w:rFonts w:cs="Arial"/>
          <w:szCs w:val="20"/>
        </w:rPr>
        <w:lastRenderedPageBreak/>
        <w:t>change indication in any paging occasion at least once per modification period if the UE is provided with common search space on the active BWP to monitor paging</w:t>
      </w:r>
      <w:r w:rsidR="006A4719">
        <w:rPr>
          <w:rFonts w:cs="Arial"/>
          <w:szCs w:val="20"/>
        </w:rPr>
        <w:t>.</w:t>
      </w:r>
    </w:p>
    <w:p w14:paraId="5FD773B7" w14:textId="3541A817" w:rsidR="007D0C1F" w:rsidRPr="007D0C1F" w:rsidRDefault="004A2A9E" w:rsidP="007D0C1F">
      <w:pPr>
        <w:pStyle w:val="Proposal"/>
      </w:pPr>
      <w:bookmarkStart w:id="100" w:name="_Toc87060660"/>
      <w:r>
        <w:t xml:space="preserve">For </w:t>
      </w:r>
      <w:r w:rsidRPr="00E140DB">
        <w:t>SI update</w:t>
      </w:r>
      <w:r w:rsidR="007D0C1F">
        <w:t xml:space="preserve"> in </w:t>
      </w:r>
      <w:r w:rsidR="007D0C1F" w:rsidRPr="007D0C1F">
        <w:t>RRC connected state</w:t>
      </w:r>
      <w:r w:rsidR="00D37512">
        <w:t xml:space="preserve"> when the RedCap DL BWP does not contain the entire CORESET #0</w:t>
      </w:r>
      <w:r w:rsidR="007D0C1F" w:rsidRPr="007D0C1F">
        <w:t>,</w:t>
      </w:r>
      <w:r w:rsidR="007D0C1F">
        <w:t xml:space="preserve"> </w:t>
      </w:r>
      <w:r w:rsidR="00D37512">
        <w:t>RedCap UEs</w:t>
      </w:r>
      <w:r w:rsidR="007D0C1F">
        <w:t xml:space="preserve"> rely on</w:t>
      </w:r>
      <w:r w:rsidR="007D0C1F" w:rsidRPr="007D0C1F">
        <w:t xml:space="preserve"> dedicated SIB delivery via RRC signaling or paging notification if the DL BWP contains the paging CSS.</w:t>
      </w:r>
      <w:bookmarkEnd w:id="100"/>
      <w:r w:rsidR="00D37512">
        <w:t xml:space="preserve"> </w:t>
      </w:r>
    </w:p>
    <w:p w14:paraId="5AA767FE" w14:textId="474C9C46" w:rsidR="004E4A74" w:rsidRDefault="007D0C1F" w:rsidP="004E4A74">
      <w:pPr>
        <w:pStyle w:val="Proposal"/>
      </w:pPr>
      <w:bookmarkStart w:id="101" w:name="_Toc87060661"/>
      <w:r>
        <w:t xml:space="preserve">For </w:t>
      </w:r>
      <w:r w:rsidRPr="00E140DB">
        <w:t>SI update</w:t>
      </w:r>
      <w:r>
        <w:t xml:space="preserve"> in </w:t>
      </w:r>
      <w:r w:rsidRPr="007D0C1F">
        <w:t xml:space="preserve">RRC </w:t>
      </w:r>
      <w:r>
        <w:t>idle/inactive state</w:t>
      </w:r>
      <w:r w:rsidR="00D37512">
        <w:t xml:space="preserve"> </w:t>
      </w:r>
      <w:r w:rsidR="00D37512" w:rsidRPr="00D37512">
        <w:t>when the RedCap</w:t>
      </w:r>
      <w:r w:rsidR="00D37512">
        <w:t xml:space="preserve"> initial</w:t>
      </w:r>
      <w:r w:rsidR="00D37512" w:rsidRPr="00D37512">
        <w:t xml:space="preserve"> DL BWP does not contain the entire CORESET #0</w:t>
      </w:r>
      <w:r w:rsidRPr="007D0C1F">
        <w:t>,</w:t>
      </w:r>
      <w:r>
        <w:t xml:space="preserve"> </w:t>
      </w:r>
      <w:r w:rsidR="00D37512">
        <w:t>RedCap UEs rely</w:t>
      </w:r>
      <w:r>
        <w:t xml:space="preserve"> on</w:t>
      </w:r>
      <w:r w:rsidRPr="007D0C1F">
        <w:t xml:space="preserve"> </w:t>
      </w:r>
      <w:r>
        <w:t>switching to CORESET #0</w:t>
      </w:r>
      <w:r w:rsidRPr="007D0C1F">
        <w:t>.</w:t>
      </w:r>
      <w:bookmarkEnd w:id="101"/>
    </w:p>
    <w:p w14:paraId="67DB3763" w14:textId="2328FEA0" w:rsidR="004E4A74" w:rsidRDefault="004E4A74" w:rsidP="004E4A74">
      <w:pPr>
        <w:rPr>
          <w:rFonts w:cs="Arial"/>
          <w:szCs w:val="20"/>
        </w:rPr>
      </w:pPr>
    </w:p>
    <w:p w14:paraId="762CFB60" w14:textId="7E9F17DB" w:rsidR="00F606FF" w:rsidRDefault="00F606FF" w:rsidP="00F606FF">
      <w:pPr>
        <w:pStyle w:val="Heading2"/>
      </w:pPr>
      <w:r>
        <w:t>3.</w:t>
      </w:r>
      <w:r w:rsidR="0048225F">
        <w:t>5</w:t>
      </w:r>
      <w:r>
        <w:tab/>
      </w:r>
      <w:r w:rsidR="00DA7052">
        <w:t>New FG for RedCap</w:t>
      </w:r>
    </w:p>
    <w:p w14:paraId="4B29E286" w14:textId="35B82187" w:rsidR="00C219DF" w:rsidRPr="00C219DF" w:rsidRDefault="00C219DF" w:rsidP="00C219DF">
      <w:pPr>
        <w:rPr>
          <w:lang w:val="en-GB" w:eastAsia="ja-JP"/>
        </w:rPr>
      </w:pPr>
      <w:r>
        <w:rPr>
          <w:lang w:val="en-GB" w:eastAsia="ja-JP"/>
        </w:rPr>
        <w:t xml:space="preserve">Regarding non-initial BWP operation and </w:t>
      </w:r>
      <w:r w:rsidR="005A3125">
        <w:rPr>
          <w:lang w:val="en-GB" w:eastAsia="ja-JP"/>
        </w:rPr>
        <w:t>UE feature groups (</w:t>
      </w:r>
      <w:r>
        <w:rPr>
          <w:lang w:val="en-GB" w:eastAsia="ja-JP"/>
        </w:rPr>
        <w:t>FG</w:t>
      </w:r>
      <w:r w:rsidR="005A3125">
        <w:rPr>
          <w:lang w:val="en-GB" w:eastAsia="ja-JP"/>
        </w:rPr>
        <w:t>)</w:t>
      </w:r>
      <w:r>
        <w:rPr>
          <w:lang w:val="en-GB" w:eastAsia="ja-JP"/>
        </w:rPr>
        <w:t>s for RedCap, we have the following</w:t>
      </w:r>
      <w:r w:rsidR="00514758">
        <w:rPr>
          <w:lang w:val="en-GB" w:eastAsia="ja-JP"/>
        </w:rPr>
        <w:t xml:space="preserve"> agreement from RAN</w:t>
      </w:r>
    </w:p>
    <w:tbl>
      <w:tblPr>
        <w:tblW w:w="9629" w:type="dxa"/>
        <w:tblCellMar>
          <w:left w:w="0" w:type="dxa"/>
          <w:right w:w="0" w:type="dxa"/>
        </w:tblCellMar>
        <w:tblLook w:val="04A0" w:firstRow="1" w:lastRow="0" w:firstColumn="1" w:lastColumn="0" w:noHBand="0" w:noVBand="1"/>
      </w:tblPr>
      <w:tblGrid>
        <w:gridCol w:w="9629"/>
      </w:tblGrid>
      <w:tr w:rsidR="00BD0761" w:rsidRPr="00E916C2" w14:paraId="716497D3" w14:textId="77777777" w:rsidTr="004204CE">
        <w:tc>
          <w:tcPr>
            <w:tcW w:w="9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D59BF5" w14:textId="77777777" w:rsidR="00BD0761" w:rsidRPr="00692EF0" w:rsidRDefault="00BD0761" w:rsidP="004204CE">
            <w:pPr>
              <w:spacing w:line="252" w:lineRule="auto"/>
              <w:rPr>
                <w:rFonts w:asciiTheme="majorBidi" w:hAnsiTheme="majorBidi" w:cstheme="majorBidi"/>
                <w:szCs w:val="20"/>
              </w:rPr>
            </w:pPr>
            <w:r w:rsidRPr="00692EF0">
              <w:rPr>
                <w:rFonts w:asciiTheme="majorBidi" w:hAnsiTheme="majorBidi" w:cstheme="majorBidi"/>
                <w:szCs w:val="20"/>
                <w:highlight w:val="green"/>
              </w:rPr>
              <w:t>Agreements:</w:t>
            </w:r>
            <w:r w:rsidRPr="00692EF0">
              <w:rPr>
                <w:rFonts w:asciiTheme="majorBidi" w:hAnsiTheme="majorBidi" w:cstheme="majorBidi"/>
                <w:szCs w:val="20"/>
              </w:rPr>
              <w:t xml:space="preserve"> Take the following as an agreement, revised from the RAN1#104bis-e working assumption:</w:t>
            </w:r>
          </w:p>
          <w:p w14:paraId="54CCD161" w14:textId="77777777" w:rsidR="00BD0761" w:rsidRPr="00692EF0" w:rsidRDefault="00BD0761" w:rsidP="004204CE">
            <w:pPr>
              <w:numPr>
                <w:ilvl w:val="0"/>
                <w:numId w:val="15"/>
              </w:numPr>
              <w:spacing w:after="0" w:line="252" w:lineRule="auto"/>
              <w:rPr>
                <w:rFonts w:asciiTheme="majorBidi" w:eastAsia="Times New Roman" w:hAnsiTheme="majorBidi" w:cstheme="majorBidi"/>
                <w:szCs w:val="20"/>
                <w:lang w:eastAsia="ja-JP"/>
              </w:rPr>
            </w:pPr>
            <w:r w:rsidRPr="00692EF0">
              <w:rPr>
                <w:rFonts w:asciiTheme="majorBidi" w:eastAsia="Times New Roman" w:hAnsiTheme="majorBidi" w:cstheme="majorBidi"/>
                <w:szCs w:val="20"/>
                <w:lang w:eastAsia="ja-JP"/>
              </w:rPr>
              <w:t>A RedCap UE cannot be configured with a non-initial (DL or UL) BWP (i.e., a BWP with a non-zero index) wider than the maximum bandwidth of the RedCap UE.</w:t>
            </w:r>
          </w:p>
          <w:p w14:paraId="50896C1A" w14:textId="77777777" w:rsidR="00BD0761" w:rsidRPr="00692EF0" w:rsidRDefault="00BD0761" w:rsidP="004204CE">
            <w:pPr>
              <w:numPr>
                <w:ilvl w:val="1"/>
                <w:numId w:val="15"/>
              </w:numPr>
              <w:spacing w:after="0" w:line="252" w:lineRule="auto"/>
              <w:rPr>
                <w:rFonts w:asciiTheme="majorBidi" w:eastAsia="Times New Roman" w:hAnsiTheme="majorBidi" w:cstheme="majorBidi"/>
                <w:szCs w:val="20"/>
                <w:lang w:eastAsia="ja-JP"/>
              </w:rPr>
            </w:pPr>
            <w:r w:rsidRPr="00692EF0">
              <w:rPr>
                <w:rFonts w:asciiTheme="majorBidi" w:eastAsia="Times New Roman" w:hAnsiTheme="majorBidi" w:cstheme="majorBidi"/>
                <w:szCs w:val="20"/>
                <w:lang w:eastAsia="ja-JP"/>
              </w:rPr>
              <w:t>At least for FR1, FG 6-1 (“Basic BWP operation with restriction” as described in TR 38.822) is used as a starting point for the mandatory RedCap UE type capability.</w:t>
            </w:r>
          </w:p>
          <w:p w14:paraId="4304F092" w14:textId="77777777" w:rsidR="00BD0761" w:rsidRPr="00692EF0" w:rsidRDefault="00BD0761" w:rsidP="004204CE">
            <w:pPr>
              <w:numPr>
                <w:ilvl w:val="2"/>
                <w:numId w:val="15"/>
              </w:numPr>
              <w:spacing w:after="0" w:line="252" w:lineRule="auto"/>
              <w:rPr>
                <w:rFonts w:asciiTheme="majorBidi" w:eastAsia="Times New Roman" w:hAnsiTheme="majorBidi" w:cstheme="majorBidi"/>
                <w:szCs w:val="20"/>
                <w:lang w:eastAsia="ja-JP"/>
              </w:rPr>
            </w:pPr>
            <w:r w:rsidRPr="00692EF0">
              <w:rPr>
                <w:rFonts w:asciiTheme="majorBidi" w:eastAsia="Times New Roman" w:hAnsiTheme="majorBidi" w:cstheme="majorBidi"/>
                <w:szCs w:val="20"/>
                <w:lang w:eastAsia="ja-JP"/>
              </w:rPr>
              <w:t>This does not preclude support of FG 6-1a (“BWP operation without restriction on BW of BWP(s)” as described in TR 38.822) as a UE capability for RedCap UEs.</w:t>
            </w:r>
          </w:p>
          <w:p w14:paraId="2F8DE3B0" w14:textId="77777777" w:rsidR="00BD0761" w:rsidRPr="006D7C88" w:rsidRDefault="00BD0761" w:rsidP="004204CE">
            <w:pPr>
              <w:spacing w:after="0" w:line="252" w:lineRule="auto"/>
              <w:ind w:left="1440"/>
              <w:rPr>
                <w:rFonts w:ascii="Times" w:eastAsia="Times New Roman" w:hAnsi="Times" w:cs="Times"/>
                <w:szCs w:val="20"/>
                <w:lang w:val="en-GB" w:eastAsia="ja-JP"/>
              </w:rPr>
            </w:pPr>
          </w:p>
        </w:tc>
      </w:tr>
    </w:tbl>
    <w:p w14:paraId="3B215F08" w14:textId="77777777" w:rsidR="00BD0761" w:rsidRDefault="00BD0761" w:rsidP="00BD0761">
      <w:pPr>
        <w:spacing w:after="0"/>
        <w:jc w:val="both"/>
      </w:pPr>
    </w:p>
    <w:p w14:paraId="0A47869C" w14:textId="0E249FC4" w:rsidR="00BD0761" w:rsidRDefault="00EC6C46" w:rsidP="00BD0761">
      <w:pPr>
        <w:spacing w:after="0"/>
        <w:jc w:val="both"/>
      </w:pPr>
      <w:r>
        <w:t>I</w:t>
      </w:r>
      <w:r w:rsidR="00673B62">
        <w:t xml:space="preserve">n </w:t>
      </w:r>
      <w:r w:rsidR="00673B62">
        <w:fldChar w:fldCharType="begin"/>
      </w:r>
      <w:r w:rsidR="00673B62">
        <w:instrText xml:space="preserve"> REF _Ref70790649 \h </w:instrText>
      </w:r>
      <w:r w:rsidR="00673B62">
        <w:fldChar w:fldCharType="separate"/>
      </w:r>
      <w:r w:rsidR="007A78E0">
        <w:t xml:space="preserve">Table </w:t>
      </w:r>
      <w:r w:rsidR="007A78E0">
        <w:rPr>
          <w:noProof/>
        </w:rPr>
        <w:t>2</w:t>
      </w:r>
      <w:r w:rsidR="00673B62">
        <w:fldChar w:fldCharType="end"/>
      </w:r>
      <w:r>
        <w:t xml:space="preserve">, </w:t>
      </w:r>
      <w:r w:rsidR="00BD0761">
        <w:t xml:space="preserve">FGs 6-1 and 6-1a related to the BWP operation </w:t>
      </w:r>
      <w:r w:rsidR="00673B62">
        <w:t xml:space="preserve">are </w:t>
      </w:r>
      <w:r w:rsidR="00BD0761">
        <w:t xml:space="preserve">listed. </w:t>
      </w:r>
    </w:p>
    <w:p w14:paraId="7503B3D5" w14:textId="77777777" w:rsidR="00BD0761" w:rsidRDefault="00BD0761" w:rsidP="00BD0761">
      <w:pPr>
        <w:spacing w:after="0"/>
        <w:jc w:val="both"/>
      </w:pPr>
      <w:bookmarkStart w:id="102" w:name="_Toc67770514"/>
      <w:bookmarkStart w:id="103" w:name="_Toc67908110"/>
      <w:bookmarkStart w:id="104" w:name="_Toc68187652"/>
      <w:bookmarkStart w:id="105" w:name="_Toc68290575"/>
      <w:bookmarkEnd w:id="102"/>
      <w:bookmarkEnd w:id="103"/>
      <w:bookmarkEnd w:id="104"/>
      <w:bookmarkEnd w:id="105"/>
    </w:p>
    <w:p w14:paraId="2A16F62E" w14:textId="7F616D4F" w:rsidR="00BD0761" w:rsidRDefault="00BD0761" w:rsidP="00BD0761">
      <w:pPr>
        <w:pStyle w:val="Caption"/>
        <w:keepNext/>
        <w:jc w:val="center"/>
      </w:pPr>
      <w:bookmarkStart w:id="106" w:name="_Ref70790649"/>
      <w:r>
        <w:t xml:space="preserve">Table </w:t>
      </w:r>
      <w:r>
        <w:fldChar w:fldCharType="begin"/>
      </w:r>
      <w:r>
        <w:instrText xml:space="preserve"> SEQ Table \* ARABIC </w:instrText>
      </w:r>
      <w:r>
        <w:fldChar w:fldCharType="separate"/>
      </w:r>
      <w:r w:rsidR="007A78E0">
        <w:rPr>
          <w:noProof/>
        </w:rPr>
        <w:t>2</w:t>
      </w:r>
      <w:r>
        <w:fldChar w:fldCharType="end"/>
      </w:r>
      <w:bookmarkEnd w:id="106"/>
      <w:r>
        <w:t xml:space="preserve">: UE feature list for BWP operation </w:t>
      </w:r>
      <w:r>
        <w:fldChar w:fldCharType="begin"/>
      </w:r>
      <w:r>
        <w:instrText xml:space="preserve"> REF _Ref70790894 \r \h </w:instrText>
      </w:r>
      <w:r>
        <w:fldChar w:fldCharType="separate"/>
      </w:r>
      <w:r w:rsidR="007A78E0">
        <w:t>[6]</w:t>
      </w:r>
      <w:r>
        <w:fldChar w:fldCharType="end"/>
      </w:r>
      <w:r>
        <w:t>.</w:t>
      </w:r>
    </w:p>
    <w:tbl>
      <w:tblPr>
        <w:tblStyle w:val="TableGrid"/>
        <w:tblW w:w="9634" w:type="dxa"/>
        <w:jc w:val="center"/>
        <w:tblLayout w:type="fixed"/>
        <w:tblLook w:val="04A0" w:firstRow="1" w:lastRow="0" w:firstColumn="1" w:lastColumn="0" w:noHBand="0" w:noVBand="1"/>
      </w:tblPr>
      <w:tblGrid>
        <w:gridCol w:w="715"/>
        <w:gridCol w:w="1350"/>
        <w:gridCol w:w="3240"/>
        <w:gridCol w:w="1260"/>
        <w:gridCol w:w="1635"/>
        <w:gridCol w:w="1434"/>
      </w:tblGrid>
      <w:tr w:rsidR="00BD0761" w:rsidRPr="00DE157A" w14:paraId="18333B3F" w14:textId="77777777" w:rsidTr="00A510B4">
        <w:trPr>
          <w:trHeight w:val="657"/>
          <w:jc w:val="center"/>
        </w:trPr>
        <w:tc>
          <w:tcPr>
            <w:tcW w:w="715" w:type="dxa"/>
            <w:shd w:val="clear" w:color="auto" w:fill="D9D9D9" w:themeFill="background1" w:themeFillShade="D9"/>
          </w:tcPr>
          <w:p w14:paraId="4DEF09AB" w14:textId="77777777" w:rsidR="00BD0761" w:rsidRPr="00AA3123" w:rsidRDefault="00BD0761" w:rsidP="004204CE">
            <w:pPr>
              <w:pStyle w:val="TAL"/>
              <w:rPr>
                <w:b/>
                <w:bCs/>
                <w:sz w:val="16"/>
                <w:szCs w:val="20"/>
                <w:lang w:val="en-US"/>
              </w:rPr>
            </w:pPr>
            <w:r w:rsidRPr="00AA3123">
              <w:rPr>
                <w:b/>
                <w:bCs/>
                <w:sz w:val="16"/>
                <w:szCs w:val="20"/>
                <w:lang w:val="en-US"/>
              </w:rPr>
              <w:t>Index</w:t>
            </w:r>
          </w:p>
        </w:tc>
        <w:tc>
          <w:tcPr>
            <w:tcW w:w="1350" w:type="dxa"/>
            <w:shd w:val="clear" w:color="auto" w:fill="D9D9D9" w:themeFill="background1" w:themeFillShade="D9"/>
          </w:tcPr>
          <w:p w14:paraId="6652BF7C" w14:textId="77777777" w:rsidR="00BD0761" w:rsidRPr="00AA3123" w:rsidRDefault="00BD0761" w:rsidP="004204CE">
            <w:pPr>
              <w:pStyle w:val="TAL"/>
              <w:rPr>
                <w:b/>
                <w:bCs/>
                <w:sz w:val="16"/>
                <w:szCs w:val="20"/>
                <w:lang w:val="en-US"/>
              </w:rPr>
            </w:pPr>
            <w:r w:rsidRPr="00AA3123">
              <w:rPr>
                <w:b/>
                <w:bCs/>
                <w:sz w:val="16"/>
                <w:szCs w:val="20"/>
                <w:lang w:val="en-US"/>
              </w:rPr>
              <w:t>Feature group</w:t>
            </w:r>
          </w:p>
        </w:tc>
        <w:tc>
          <w:tcPr>
            <w:tcW w:w="3240" w:type="dxa"/>
            <w:shd w:val="clear" w:color="auto" w:fill="D9D9D9" w:themeFill="background1" w:themeFillShade="D9"/>
          </w:tcPr>
          <w:p w14:paraId="0F88D423" w14:textId="77777777" w:rsidR="00BD0761" w:rsidRPr="00AA3123" w:rsidRDefault="00BD0761" w:rsidP="004204CE">
            <w:pPr>
              <w:pStyle w:val="TAL"/>
              <w:rPr>
                <w:b/>
                <w:bCs/>
                <w:sz w:val="16"/>
                <w:szCs w:val="20"/>
                <w:lang w:val="en-US"/>
              </w:rPr>
            </w:pPr>
            <w:r w:rsidRPr="00AA3123">
              <w:rPr>
                <w:b/>
                <w:bCs/>
                <w:sz w:val="16"/>
                <w:szCs w:val="20"/>
                <w:lang w:val="en-US"/>
              </w:rPr>
              <w:t>Components</w:t>
            </w:r>
          </w:p>
        </w:tc>
        <w:tc>
          <w:tcPr>
            <w:tcW w:w="1260" w:type="dxa"/>
            <w:shd w:val="clear" w:color="auto" w:fill="D9D9D9" w:themeFill="background1" w:themeFillShade="D9"/>
          </w:tcPr>
          <w:p w14:paraId="0F3EFF43" w14:textId="77777777" w:rsidR="00BD0761" w:rsidRPr="00AA3123" w:rsidRDefault="00BD0761" w:rsidP="004204CE">
            <w:pPr>
              <w:pStyle w:val="TAL"/>
              <w:rPr>
                <w:b/>
                <w:bCs/>
                <w:sz w:val="16"/>
                <w:szCs w:val="20"/>
                <w:lang w:val="en-US"/>
              </w:rPr>
            </w:pPr>
            <w:r w:rsidRPr="00AA3123">
              <w:rPr>
                <w:b/>
                <w:bCs/>
                <w:sz w:val="16"/>
                <w:szCs w:val="20"/>
                <w:lang w:val="en-US"/>
              </w:rPr>
              <w:t>Prerequisite feature groups</w:t>
            </w:r>
          </w:p>
        </w:tc>
        <w:tc>
          <w:tcPr>
            <w:tcW w:w="1635" w:type="dxa"/>
            <w:shd w:val="clear" w:color="auto" w:fill="D9D9D9" w:themeFill="background1" w:themeFillShade="D9"/>
          </w:tcPr>
          <w:p w14:paraId="7ED357D2" w14:textId="77777777" w:rsidR="00BD0761" w:rsidRPr="00AA3123" w:rsidRDefault="00BD0761" w:rsidP="004204CE">
            <w:pPr>
              <w:pStyle w:val="TAL"/>
              <w:rPr>
                <w:b/>
                <w:bCs/>
                <w:sz w:val="16"/>
                <w:szCs w:val="20"/>
                <w:lang w:val="en-US"/>
              </w:rPr>
            </w:pPr>
            <w:r w:rsidRPr="00AA3123">
              <w:rPr>
                <w:b/>
                <w:bCs/>
                <w:sz w:val="16"/>
                <w:szCs w:val="20"/>
                <w:lang w:val="en-US"/>
              </w:rPr>
              <w:t>Note</w:t>
            </w:r>
          </w:p>
        </w:tc>
        <w:tc>
          <w:tcPr>
            <w:tcW w:w="1434" w:type="dxa"/>
            <w:shd w:val="clear" w:color="auto" w:fill="D9D9D9" w:themeFill="background1" w:themeFillShade="D9"/>
          </w:tcPr>
          <w:p w14:paraId="0CDD131F" w14:textId="77777777" w:rsidR="00BD0761" w:rsidRPr="00AA3123" w:rsidRDefault="00BD0761" w:rsidP="004204CE">
            <w:pPr>
              <w:pStyle w:val="TAL"/>
              <w:rPr>
                <w:b/>
                <w:bCs/>
                <w:sz w:val="16"/>
                <w:szCs w:val="20"/>
                <w:lang w:val="en-US"/>
              </w:rPr>
            </w:pPr>
            <w:r w:rsidRPr="00AA3123">
              <w:rPr>
                <w:b/>
                <w:bCs/>
                <w:sz w:val="16"/>
                <w:szCs w:val="20"/>
                <w:lang w:val="en-US"/>
              </w:rPr>
              <w:t>Mandatory/Optional</w:t>
            </w:r>
          </w:p>
        </w:tc>
      </w:tr>
      <w:tr w:rsidR="00BD0761" w:rsidRPr="00DE157A" w14:paraId="56CC3135" w14:textId="77777777" w:rsidTr="00A510B4">
        <w:trPr>
          <w:trHeight w:val="657"/>
          <w:jc w:val="center"/>
        </w:trPr>
        <w:tc>
          <w:tcPr>
            <w:tcW w:w="715" w:type="dxa"/>
          </w:tcPr>
          <w:p w14:paraId="00748F19" w14:textId="77777777" w:rsidR="00BD0761" w:rsidRPr="00AA3123" w:rsidRDefault="00BD0761" w:rsidP="004204CE">
            <w:pPr>
              <w:pStyle w:val="TAL"/>
              <w:rPr>
                <w:sz w:val="14"/>
                <w:szCs w:val="18"/>
                <w:lang w:val="en-US"/>
              </w:rPr>
            </w:pPr>
            <w:r w:rsidRPr="00AA3123">
              <w:rPr>
                <w:sz w:val="14"/>
                <w:szCs w:val="18"/>
                <w:lang w:val="en-US"/>
              </w:rPr>
              <w:t>6-1</w:t>
            </w:r>
          </w:p>
        </w:tc>
        <w:tc>
          <w:tcPr>
            <w:tcW w:w="1350" w:type="dxa"/>
          </w:tcPr>
          <w:p w14:paraId="12A24FD5" w14:textId="77777777" w:rsidR="00BD0761" w:rsidRPr="00AA3123" w:rsidRDefault="00BD0761" w:rsidP="004204CE">
            <w:pPr>
              <w:pStyle w:val="TAL"/>
              <w:rPr>
                <w:sz w:val="14"/>
                <w:szCs w:val="18"/>
                <w:lang w:val="en-US"/>
              </w:rPr>
            </w:pPr>
            <w:r w:rsidRPr="00AA3123">
              <w:rPr>
                <w:sz w:val="14"/>
                <w:szCs w:val="18"/>
                <w:lang w:val="en-US"/>
              </w:rPr>
              <w:t>Basic BWP operation with restriction</w:t>
            </w:r>
          </w:p>
        </w:tc>
        <w:tc>
          <w:tcPr>
            <w:tcW w:w="3240" w:type="dxa"/>
          </w:tcPr>
          <w:p w14:paraId="77DD5620" w14:textId="77777777" w:rsidR="00BD0761" w:rsidRPr="00AA3123" w:rsidRDefault="00BD0761" w:rsidP="004204CE">
            <w:pPr>
              <w:pStyle w:val="TAL"/>
              <w:rPr>
                <w:sz w:val="14"/>
                <w:szCs w:val="18"/>
                <w:lang w:val="en-US"/>
              </w:rPr>
            </w:pPr>
            <w:r w:rsidRPr="00AA3123">
              <w:rPr>
                <w:sz w:val="14"/>
                <w:szCs w:val="18"/>
                <w:lang w:val="en-US"/>
              </w:rPr>
              <w:t>1) 1 UE-specific RRC configured DL BWP per carrier</w:t>
            </w:r>
          </w:p>
          <w:p w14:paraId="013DF45D" w14:textId="77777777" w:rsidR="00BD0761" w:rsidRPr="00AA3123" w:rsidRDefault="00BD0761" w:rsidP="004204CE">
            <w:pPr>
              <w:pStyle w:val="TAL"/>
              <w:rPr>
                <w:sz w:val="14"/>
                <w:szCs w:val="18"/>
                <w:lang w:val="en-US"/>
              </w:rPr>
            </w:pPr>
            <w:r w:rsidRPr="00AA3123">
              <w:rPr>
                <w:sz w:val="14"/>
                <w:szCs w:val="18"/>
                <w:lang w:val="en-US"/>
              </w:rPr>
              <w:t>2) 1 UE-specific RRC configured UL BWP per carrier</w:t>
            </w:r>
          </w:p>
          <w:p w14:paraId="40D450DA" w14:textId="77777777" w:rsidR="00BD0761" w:rsidRPr="00AA3123" w:rsidRDefault="00BD0761" w:rsidP="004204CE">
            <w:pPr>
              <w:pStyle w:val="TAL"/>
              <w:rPr>
                <w:sz w:val="14"/>
                <w:szCs w:val="18"/>
                <w:lang w:val="en-US"/>
              </w:rPr>
            </w:pPr>
            <w:r w:rsidRPr="00AA3123">
              <w:rPr>
                <w:sz w:val="14"/>
                <w:szCs w:val="18"/>
                <w:lang w:val="en-US"/>
              </w:rPr>
              <w:t>3) RRC reconfiguration of any parameters related to BWP</w:t>
            </w:r>
          </w:p>
          <w:p w14:paraId="2C2E9676" w14:textId="77777777" w:rsidR="00BD0761" w:rsidRPr="00AA3123" w:rsidRDefault="00BD0761" w:rsidP="004204CE">
            <w:pPr>
              <w:pStyle w:val="TAL"/>
              <w:rPr>
                <w:sz w:val="14"/>
                <w:szCs w:val="18"/>
                <w:lang w:val="en-US"/>
              </w:rPr>
            </w:pPr>
            <w:r w:rsidRPr="00AA3123">
              <w:rPr>
                <w:sz w:val="14"/>
                <w:szCs w:val="18"/>
                <w:lang w:val="en-US"/>
              </w:rPr>
              <w:t>4) BW of a UE-specific RRC configured BWP includes BW of CORESET</w:t>
            </w:r>
            <w:r>
              <w:rPr>
                <w:sz w:val="14"/>
                <w:szCs w:val="18"/>
                <w:lang w:val="en-US"/>
              </w:rPr>
              <w:t xml:space="preserve"> </w:t>
            </w:r>
            <w:r w:rsidRPr="00AA3123">
              <w:rPr>
                <w:sz w:val="14"/>
                <w:szCs w:val="18"/>
                <w:lang w:val="en-US"/>
              </w:rPr>
              <w:t>#0 (if CORESET</w:t>
            </w:r>
            <w:r>
              <w:rPr>
                <w:sz w:val="14"/>
                <w:szCs w:val="18"/>
                <w:lang w:val="en-US"/>
              </w:rPr>
              <w:t xml:space="preserve"> </w:t>
            </w:r>
            <w:r w:rsidRPr="00AA3123">
              <w:rPr>
                <w:sz w:val="14"/>
                <w:szCs w:val="18"/>
                <w:lang w:val="en-US"/>
              </w:rPr>
              <w:t xml:space="preserve">#0 is present) and SSB for </w:t>
            </w:r>
            <w:proofErr w:type="spellStart"/>
            <w:r w:rsidRPr="00AA3123">
              <w:rPr>
                <w:sz w:val="14"/>
                <w:szCs w:val="18"/>
                <w:lang w:val="en-US"/>
              </w:rPr>
              <w:t>PCell</w:t>
            </w:r>
            <w:proofErr w:type="spellEnd"/>
            <w:r w:rsidRPr="00AA3123">
              <w:rPr>
                <w:sz w:val="14"/>
                <w:szCs w:val="18"/>
                <w:lang w:val="en-US"/>
              </w:rPr>
              <w:t>/</w:t>
            </w:r>
            <w:proofErr w:type="spellStart"/>
            <w:r w:rsidRPr="00AA3123">
              <w:rPr>
                <w:sz w:val="14"/>
                <w:szCs w:val="18"/>
                <w:lang w:val="en-US"/>
              </w:rPr>
              <w:t>PSCell</w:t>
            </w:r>
            <w:proofErr w:type="spellEnd"/>
            <w:r w:rsidRPr="00AA3123">
              <w:rPr>
                <w:sz w:val="14"/>
                <w:szCs w:val="18"/>
                <w:lang w:val="en-US"/>
              </w:rPr>
              <w:t xml:space="preserve"> (if configured) and BW of the UE-specific RRC configured BWP includes SSB for </w:t>
            </w:r>
            <w:proofErr w:type="spellStart"/>
            <w:r w:rsidRPr="00AA3123">
              <w:rPr>
                <w:sz w:val="14"/>
                <w:szCs w:val="18"/>
                <w:lang w:val="en-US"/>
              </w:rPr>
              <w:t>SCell</w:t>
            </w:r>
            <w:proofErr w:type="spellEnd"/>
            <w:r w:rsidRPr="00AA3123">
              <w:rPr>
                <w:sz w:val="14"/>
                <w:szCs w:val="18"/>
                <w:lang w:val="en-US"/>
              </w:rPr>
              <w:t xml:space="preserve"> if there is SSB on </w:t>
            </w:r>
            <w:proofErr w:type="spellStart"/>
            <w:r w:rsidRPr="00AA3123">
              <w:rPr>
                <w:sz w:val="14"/>
                <w:szCs w:val="18"/>
                <w:lang w:val="en-US"/>
              </w:rPr>
              <w:t>SCell</w:t>
            </w:r>
            <w:proofErr w:type="spellEnd"/>
          </w:p>
        </w:tc>
        <w:tc>
          <w:tcPr>
            <w:tcW w:w="1260" w:type="dxa"/>
          </w:tcPr>
          <w:p w14:paraId="124EF4F4" w14:textId="77777777" w:rsidR="00BD0761" w:rsidRPr="00AA3123" w:rsidRDefault="00BD0761" w:rsidP="004204CE">
            <w:pPr>
              <w:pStyle w:val="TAL"/>
              <w:rPr>
                <w:sz w:val="14"/>
                <w:szCs w:val="18"/>
                <w:lang w:val="en-US"/>
              </w:rPr>
            </w:pPr>
          </w:p>
        </w:tc>
        <w:tc>
          <w:tcPr>
            <w:tcW w:w="1635" w:type="dxa"/>
          </w:tcPr>
          <w:p w14:paraId="7A17DE13" w14:textId="77777777" w:rsidR="00BD0761" w:rsidRPr="00AA3123" w:rsidRDefault="00BD0761" w:rsidP="004204CE">
            <w:pPr>
              <w:pStyle w:val="TAL"/>
              <w:rPr>
                <w:sz w:val="14"/>
                <w:szCs w:val="18"/>
                <w:lang w:val="en-US"/>
              </w:rPr>
            </w:pPr>
            <w:r w:rsidRPr="00AA3123">
              <w:rPr>
                <w:sz w:val="14"/>
                <w:szCs w:val="18"/>
                <w:lang w:val="en-US"/>
              </w:rPr>
              <w:t>This feature should be mandatory without capability signaling for at least BWPs which is the same as the set of specified channel BW</w:t>
            </w:r>
          </w:p>
          <w:p w14:paraId="00AF69E7" w14:textId="77777777" w:rsidR="00BD0761" w:rsidRPr="00AA3123" w:rsidRDefault="00BD0761" w:rsidP="004204CE">
            <w:pPr>
              <w:pStyle w:val="TAL"/>
              <w:rPr>
                <w:sz w:val="14"/>
                <w:szCs w:val="18"/>
                <w:lang w:val="en-US"/>
              </w:rPr>
            </w:pPr>
          </w:p>
          <w:p w14:paraId="647E8514" w14:textId="77777777" w:rsidR="00BD0761" w:rsidRPr="00AA3123" w:rsidRDefault="00BD0761" w:rsidP="004204CE">
            <w:pPr>
              <w:pStyle w:val="TAL"/>
              <w:rPr>
                <w:sz w:val="14"/>
                <w:szCs w:val="18"/>
                <w:lang w:val="en-US"/>
              </w:rPr>
            </w:pPr>
            <w:r w:rsidRPr="00AA3123">
              <w:rPr>
                <w:sz w:val="14"/>
                <w:szCs w:val="18"/>
                <w:lang w:val="en-US"/>
              </w:rPr>
              <w:t>UE-specific RRC configured DL/UL BWP can have the same or different numerology from the initial active DL/UL BWP</w:t>
            </w:r>
          </w:p>
        </w:tc>
        <w:tc>
          <w:tcPr>
            <w:tcW w:w="1434" w:type="dxa"/>
          </w:tcPr>
          <w:p w14:paraId="64C43904" w14:textId="77777777" w:rsidR="00BD0761" w:rsidRPr="00AA3123" w:rsidRDefault="00BD0761" w:rsidP="004204CE">
            <w:pPr>
              <w:pStyle w:val="TAL"/>
              <w:rPr>
                <w:sz w:val="14"/>
                <w:szCs w:val="18"/>
                <w:lang w:val="en-US"/>
              </w:rPr>
            </w:pPr>
            <w:r w:rsidRPr="00AA3123">
              <w:rPr>
                <w:sz w:val="14"/>
                <w:szCs w:val="18"/>
                <w:lang w:val="en-US"/>
              </w:rPr>
              <w:t>Mandatory without capability signaling</w:t>
            </w:r>
          </w:p>
        </w:tc>
      </w:tr>
      <w:tr w:rsidR="00BD0761" w:rsidRPr="00DE157A" w14:paraId="093A125B" w14:textId="77777777" w:rsidTr="00A510B4">
        <w:trPr>
          <w:trHeight w:val="315"/>
          <w:jc w:val="center"/>
        </w:trPr>
        <w:tc>
          <w:tcPr>
            <w:tcW w:w="715" w:type="dxa"/>
          </w:tcPr>
          <w:p w14:paraId="7288A787" w14:textId="77777777" w:rsidR="00BD0761" w:rsidRPr="00AA3123" w:rsidRDefault="00BD0761" w:rsidP="004204CE">
            <w:pPr>
              <w:pStyle w:val="TAL"/>
              <w:rPr>
                <w:sz w:val="14"/>
                <w:szCs w:val="18"/>
                <w:lang w:val="en-US"/>
              </w:rPr>
            </w:pPr>
            <w:r w:rsidRPr="00AA3123">
              <w:rPr>
                <w:sz w:val="14"/>
                <w:szCs w:val="18"/>
                <w:lang w:val="en-US"/>
              </w:rPr>
              <w:t>6-1a</w:t>
            </w:r>
          </w:p>
        </w:tc>
        <w:tc>
          <w:tcPr>
            <w:tcW w:w="1350" w:type="dxa"/>
          </w:tcPr>
          <w:p w14:paraId="7F8FC7BF" w14:textId="77777777" w:rsidR="00BD0761" w:rsidRPr="00AA3123" w:rsidRDefault="00BD0761" w:rsidP="004204CE">
            <w:pPr>
              <w:pStyle w:val="TAL"/>
              <w:rPr>
                <w:sz w:val="14"/>
                <w:szCs w:val="18"/>
                <w:lang w:val="en-US"/>
              </w:rPr>
            </w:pPr>
            <w:r w:rsidRPr="00AA3123">
              <w:rPr>
                <w:sz w:val="14"/>
                <w:szCs w:val="18"/>
                <w:lang w:val="en-US"/>
              </w:rPr>
              <w:t>BWP operation without restriction on BW of BWP(s)</w:t>
            </w:r>
          </w:p>
        </w:tc>
        <w:tc>
          <w:tcPr>
            <w:tcW w:w="3240" w:type="dxa"/>
          </w:tcPr>
          <w:p w14:paraId="49EEE532" w14:textId="77777777" w:rsidR="00BD0761" w:rsidRPr="00AA3123" w:rsidRDefault="00BD0761" w:rsidP="004204CE">
            <w:pPr>
              <w:pStyle w:val="TAL"/>
              <w:rPr>
                <w:sz w:val="14"/>
                <w:szCs w:val="18"/>
                <w:lang w:val="en-US"/>
              </w:rPr>
            </w:pPr>
            <w:r w:rsidRPr="00AA3123">
              <w:rPr>
                <w:sz w:val="14"/>
                <w:szCs w:val="18"/>
                <w:lang w:val="en-US"/>
              </w:rPr>
              <w:t>BW of UE-specific RRC configured BWP may not include BW of the CORESET</w:t>
            </w:r>
            <w:r>
              <w:rPr>
                <w:sz w:val="14"/>
                <w:szCs w:val="18"/>
                <w:lang w:val="en-US"/>
              </w:rPr>
              <w:t xml:space="preserve"> </w:t>
            </w:r>
            <w:r w:rsidRPr="00AA3123">
              <w:rPr>
                <w:sz w:val="14"/>
                <w:szCs w:val="18"/>
                <w:lang w:val="en-US"/>
              </w:rPr>
              <w:t>#0 (if CORESET</w:t>
            </w:r>
            <w:r>
              <w:rPr>
                <w:sz w:val="14"/>
                <w:szCs w:val="18"/>
                <w:lang w:val="en-US"/>
              </w:rPr>
              <w:t xml:space="preserve"> </w:t>
            </w:r>
            <w:r w:rsidRPr="00AA3123">
              <w:rPr>
                <w:sz w:val="14"/>
                <w:szCs w:val="18"/>
                <w:lang w:val="en-US"/>
              </w:rPr>
              <w:t xml:space="preserve">#0 is present) and SSB for </w:t>
            </w:r>
            <w:proofErr w:type="spellStart"/>
            <w:r w:rsidRPr="00AA3123">
              <w:rPr>
                <w:sz w:val="14"/>
                <w:szCs w:val="18"/>
                <w:lang w:val="en-US"/>
              </w:rPr>
              <w:t>PCell</w:t>
            </w:r>
            <w:proofErr w:type="spellEnd"/>
            <w:r w:rsidRPr="00AA3123">
              <w:rPr>
                <w:sz w:val="14"/>
                <w:szCs w:val="18"/>
                <w:lang w:val="en-US"/>
              </w:rPr>
              <w:t>/</w:t>
            </w:r>
            <w:proofErr w:type="spellStart"/>
            <w:r w:rsidRPr="00AA3123">
              <w:rPr>
                <w:sz w:val="14"/>
                <w:szCs w:val="18"/>
                <w:lang w:val="en-US"/>
              </w:rPr>
              <w:t>PSCell</w:t>
            </w:r>
            <w:proofErr w:type="spellEnd"/>
            <w:r w:rsidRPr="00AA3123">
              <w:rPr>
                <w:sz w:val="14"/>
                <w:szCs w:val="18"/>
                <w:lang w:val="en-US"/>
              </w:rPr>
              <w:t xml:space="preserve"> (if configured) and BW of the UE-specific RRC configured BWP may not include SSB for </w:t>
            </w:r>
            <w:proofErr w:type="spellStart"/>
            <w:r w:rsidRPr="00AA3123">
              <w:rPr>
                <w:sz w:val="14"/>
                <w:szCs w:val="18"/>
                <w:lang w:val="en-US"/>
              </w:rPr>
              <w:t>SCell</w:t>
            </w:r>
            <w:proofErr w:type="spellEnd"/>
          </w:p>
        </w:tc>
        <w:tc>
          <w:tcPr>
            <w:tcW w:w="1260" w:type="dxa"/>
          </w:tcPr>
          <w:p w14:paraId="6CDB7DE9" w14:textId="77777777" w:rsidR="00BD0761" w:rsidRPr="00AA3123" w:rsidRDefault="00BD0761" w:rsidP="004204CE">
            <w:pPr>
              <w:pStyle w:val="TAL"/>
              <w:rPr>
                <w:sz w:val="14"/>
                <w:szCs w:val="18"/>
                <w:lang w:val="en-US"/>
              </w:rPr>
            </w:pPr>
            <w:r w:rsidRPr="00AA3123">
              <w:rPr>
                <w:sz w:val="14"/>
                <w:szCs w:val="18"/>
                <w:lang w:val="en-US"/>
              </w:rPr>
              <w:t>6-1, 6-2, 6-3, or 6-4</w:t>
            </w:r>
          </w:p>
        </w:tc>
        <w:tc>
          <w:tcPr>
            <w:tcW w:w="1635" w:type="dxa"/>
          </w:tcPr>
          <w:p w14:paraId="3B7A502D" w14:textId="77777777" w:rsidR="00BD0761" w:rsidRPr="00AA3123" w:rsidRDefault="00BD0761" w:rsidP="004204CE">
            <w:pPr>
              <w:pStyle w:val="TAL"/>
              <w:rPr>
                <w:sz w:val="14"/>
                <w:szCs w:val="18"/>
                <w:lang w:val="en-US"/>
              </w:rPr>
            </w:pPr>
            <w:r w:rsidRPr="00AA3123">
              <w:rPr>
                <w:sz w:val="14"/>
                <w:szCs w:val="18"/>
                <w:lang w:val="en-US"/>
              </w:rPr>
              <w:t>6-1a is applicable to 6-1, 6-2, 6-3, or 6-4.</w:t>
            </w:r>
          </w:p>
        </w:tc>
        <w:tc>
          <w:tcPr>
            <w:tcW w:w="1434" w:type="dxa"/>
          </w:tcPr>
          <w:p w14:paraId="5E62A3FD" w14:textId="77777777" w:rsidR="00BD0761" w:rsidRPr="00AA3123" w:rsidRDefault="00BD0761" w:rsidP="004204CE">
            <w:pPr>
              <w:pStyle w:val="TAL"/>
              <w:rPr>
                <w:sz w:val="14"/>
                <w:szCs w:val="18"/>
                <w:lang w:val="en-US"/>
              </w:rPr>
            </w:pPr>
            <w:r w:rsidRPr="00AA3123">
              <w:rPr>
                <w:sz w:val="14"/>
                <w:szCs w:val="18"/>
                <w:lang w:val="en-US"/>
              </w:rPr>
              <w:t>Optional with capability signaling</w:t>
            </w:r>
          </w:p>
        </w:tc>
      </w:tr>
    </w:tbl>
    <w:p w14:paraId="6E0A1A57" w14:textId="03A883EF" w:rsidR="00DA7052" w:rsidRDefault="00DA7052" w:rsidP="00DA7052">
      <w:pPr>
        <w:rPr>
          <w:lang w:val="en-GB" w:eastAsia="ja-JP"/>
        </w:rPr>
      </w:pPr>
    </w:p>
    <w:p w14:paraId="72DA1873" w14:textId="550E4DC9" w:rsidR="00EC6C46" w:rsidRDefault="00D56264" w:rsidP="00A66FD4">
      <w:pPr>
        <w:jc w:val="both"/>
        <w:rPr>
          <w:lang w:val="en-GB" w:eastAsia="ja-JP"/>
        </w:rPr>
      </w:pPr>
      <w:r>
        <w:rPr>
          <w:lang w:val="en-GB" w:eastAsia="ja-JP"/>
        </w:rPr>
        <w:t xml:space="preserve">As previously discussed, a UE specific RRC-configured DL BWP for RedCap may not always contain CORESET #0. </w:t>
      </w:r>
      <w:r w:rsidR="00CF25EF">
        <w:rPr>
          <w:lang w:val="en-GB" w:eastAsia="ja-JP"/>
        </w:rPr>
        <w:t xml:space="preserve">Even if additional SSBs are provided in the </w:t>
      </w:r>
      <w:r w:rsidR="00174367">
        <w:rPr>
          <w:lang w:val="en-GB" w:eastAsia="ja-JP"/>
        </w:rPr>
        <w:t xml:space="preserve">RedCap </w:t>
      </w:r>
      <w:r w:rsidR="00CF25EF">
        <w:rPr>
          <w:lang w:val="en-GB" w:eastAsia="ja-JP"/>
        </w:rPr>
        <w:t xml:space="preserve">DL BWP, </w:t>
      </w:r>
      <w:r w:rsidR="00174367">
        <w:rPr>
          <w:lang w:val="en-GB" w:eastAsia="ja-JP"/>
        </w:rPr>
        <w:t>it may not contain the entire CORESET #0. Therefore, a RedCap UEs should support a new FG which falls between FG 6-1 and FG 6-1a</w:t>
      </w:r>
      <w:r w:rsidR="00831D90">
        <w:rPr>
          <w:lang w:val="en-GB" w:eastAsia="ja-JP"/>
        </w:rPr>
        <w:t>.</w:t>
      </w:r>
    </w:p>
    <w:p w14:paraId="68D2B314" w14:textId="6B92987A" w:rsidR="00F606FF" w:rsidRDefault="00DA7052" w:rsidP="00187C50">
      <w:pPr>
        <w:pStyle w:val="Proposal"/>
      </w:pPr>
      <w:bookmarkStart w:id="107" w:name="_Toc83986575"/>
      <w:bookmarkStart w:id="108" w:name="_Toc87060662"/>
      <w:r>
        <w:t>The RedCap UE should support a new FG for BWP operation where an RRC-configured DL BWP contains SSB but not CORESET #0.</w:t>
      </w:r>
      <w:bookmarkEnd w:id="107"/>
      <w:bookmarkEnd w:id="108"/>
    </w:p>
    <w:p w14:paraId="6D9583C6" w14:textId="57BA99D3" w:rsidR="000A66F1" w:rsidRDefault="000A66F1" w:rsidP="000A66F1">
      <w:pPr>
        <w:jc w:val="both"/>
        <w:rPr>
          <w:lang w:val="en-GB" w:eastAsia="ja-JP"/>
        </w:rPr>
      </w:pPr>
    </w:p>
    <w:p w14:paraId="37EB5693" w14:textId="4F36AAE2" w:rsidR="00C01F33" w:rsidRPr="00AA3123" w:rsidRDefault="0048788E" w:rsidP="005B7323">
      <w:pPr>
        <w:pStyle w:val="Heading1"/>
        <w:rPr>
          <w:lang w:val="en-US"/>
        </w:rPr>
      </w:pPr>
      <w:r>
        <w:rPr>
          <w:lang w:val="en-US"/>
        </w:rPr>
        <w:lastRenderedPageBreak/>
        <w:t>4</w:t>
      </w:r>
      <w:r w:rsidR="005B7323" w:rsidRPr="00AA3123">
        <w:rPr>
          <w:lang w:val="en-US"/>
        </w:rPr>
        <w:tab/>
      </w:r>
      <w:r w:rsidR="00C01F33" w:rsidRPr="00AA3123">
        <w:rPr>
          <w:lang w:val="en-US"/>
        </w:rPr>
        <w:t>Conclusion</w:t>
      </w:r>
    </w:p>
    <w:p w14:paraId="5A650F2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77019F60" w14:textId="1FE22B01" w:rsidR="007A78E0" w:rsidRDefault="006F6582">
      <w:pPr>
        <w:pStyle w:val="TableofFigures"/>
        <w:tabs>
          <w:tab w:val="right" w:leader="dot" w:pos="9629"/>
        </w:tabs>
        <w:rPr>
          <w:rFonts w:asciiTheme="minorHAnsi" w:eastAsiaTheme="minorEastAsia" w:hAnsiTheme="minorHAnsi"/>
          <w:b w:val="0"/>
          <w:noProof/>
          <w:sz w:val="22"/>
          <w:lang w:val="sv-SE" w:eastAsia="sv-SE"/>
        </w:rPr>
      </w:pPr>
      <w:r>
        <w:rPr>
          <w:b w:val="0"/>
          <w:bCs/>
        </w:rPr>
        <w:fldChar w:fldCharType="begin"/>
      </w:r>
      <w:r>
        <w:rPr>
          <w:b w:val="0"/>
          <w:bCs/>
        </w:rPr>
        <w:instrText xml:space="preserve"> TOC \f O \n \h \z \t "Observation" \c </w:instrText>
      </w:r>
      <w:r>
        <w:rPr>
          <w:b w:val="0"/>
        </w:rPr>
        <w:fldChar w:fldCharType="separate"/>
      </w:r>
      <w:hyperlink w:anchor="_Toc87060604" w:history="1">
        <w:r w:rsidR="007A78E0" w:rsidRPr="00FF313A">
          <w:rPr>
            <w:rStyle w:val="Hyperlink"/>
            <w:noProof/>
          </w:rPr>
          <w:t>Observation 1</w:t>
        </w:r>
        <w:r w:rsidR="007A78E0">
          <w:rPr>
            <w:rFonts w:asciiTheme="minorHAnsi" w:eastAsiaTheme="minorEastAsia" w:hAnsiTheme="minorHAnsi"/>
            <w:b w:val="0"/>
            <w:noProof/>
            <w:sz w:val="22"/>
            <w:lang w:val="sv-SE" w:eastAsia="sv-SE"/>
          </w:rPr>
          <w:tab/>
        </w:r>
        <w:r w:rsidR="007A78E0" w:rsidRPr="00FF313A">
          <w:rPr>
            <w:rStyle w:val="Hyperlink"/>
            <w:noProof/>
          </w:rPr>
          <w:t>The motivation for configuring two initial UL BWPs for RedCap is quite limited while the impact on the coexistence of RedCap and non-RedCap can be significant.</w:t>
        </w:r>
      </w:hyperlink>
    </w:p>
    <w:p w14:paraId="144C2721" w14:textId="710CC2FF" w:rsidR="007A78E0" w:rsidRDefault="007A78E0">
      <w:pPr>
        <w:pStyle w:val="TableofFigures"/>
        <w:tabs>
          <w:tab w:val="right" w:leader="dot" w:pos="9629"/>
        </w:tabs>
        <w:rPr>
          <w:rFonts w:asciiTheme="minorHAnsi" w:eastAsiaTheme="minorEastAsia" w:hAnsiTheme="minorHAnsi"/>
          <w:b w:val="0"/>
          <w:noProof/>
          <w:sz w:val="22"/>
          <w:lang w:val="sv-SE" w:eastAsia="sv-SE"/>
        </w:rPr>
      </w:pPr>
      <w:hyperlink w:anchor="_Toc87060605" w:history="1">
        <w:r w:rsidRPr="00FF313A">
          <w:rPr>
            <w:rStyle w:val="Hyperlink"/>
            <w:noProof/>
          </w:rPr>
          <w:t>Observation 2</w:t>
        </w:r>
        <w:r>
          <w:rPr>
            <w:rFonts w:asciiTheme="minorHAnsi" w:eastAsiaTheme="minorEastAsia" w:hAnsiTheme="minorHAnsi"/>
            <w:b w:val="0"/>
            <w:noProof/>
            <w:sz w:val="22"/>
            <w:lang w:val="sv-SE" w:eastAsia="sv-SE"/>
          </w:rPr>
          <w:tab/>
        </w:r>
        <w:r w:rsidRPr="00FF313A">
          <w:rPr>
            <w:rStyle w:val="Hyperlink"/>
            <w:noProof/>
          </w:rPr>
          <w:t>Configuration of two separate initial UL BWPs for RedCap UEs can result in PUSCH resource fragmentation and significant overhead from potentially configuring additional SSB and CORESET/CSS in the corresponding DL BWPs.</w:t>
        </w:r>
      </w:hyperlink>
    </w:p>
    <w:p w14:paraId="4885DD34" w14:textId="7FB72021" w:rsidR="007A78E0" w:rsidRDefault="007A78E0">
      <w:pPr>
        <w:pStyle w:val="TableofFigures"/>
        <w:tabs>
          <w:tab w:val="right" w:leader="dot" w:pos="9629"/>
        </w:tabs>
        <w:rPr>
          <w:rFonts w:asciiTheme="minorHAnsi" w:eastAsiaTheme="minorEastAsia" w:hAnsiTheme="minorHAnsi"/>
          <w:b w:val="0"/>
          <w:noProof/>
          <w:sz w:val="22"/>
          <w:lang w:val="sv-SE" w:eastAsia="sv-SE"/>
        </w:rPr>
      </w:pPr>
      <w:hyperlink w:anchor="_Toc87060606" w:history="1">
        <w:r w:rsidRPr="00FF313A">
          <w:rPr>
            <w:rStyle w:val="Hyperlink"/>
            <w:rFonts w:eastAsia="Calibri"/>
            <w:noProof/>
            <w:spacing w:val="2"/>
            <w:lang w:eastAsia="en-US"/>
          </w:rPr>
          <w:t>Observation 3</w:t>
        </w:r>
        <w:r>
          <w:rPr>
            <w:rFonts w:asciiTheme="minorHAnsi" w:eastAsiaTheme="minorEastAsia" w:hAnsiTheme="minorHAnsi"/>
            <w:b w:val="0"/>
            <w:noProof/>
            <w:sz w:val="22"/>
            <w:lang w:val="sv-SE" w:eastAsia="sv-SE"/>
          </w:rPr>
          <w:tab/>
        </w:r>
        <w:r w:rsidRPr="00FF313A">
          <w:rPr>
            <w:rStyle w:val="Hyperlink"/>
            <w:rFonts w:eastAsia="Calibri"/>
            <w:noProof/>
            <w:spacing w:val="2"/>
            <w:lang w:eastAsia="en-US"/>
          </w:rPr>
          <w:t>It is desired to have the PUCCH transmissions at the carrier edge to prevent the PUSCH resource fragmentation. To this end, the PUCCH frequency hop located at the carrier edge should be used for RedCap.</w:t>
        </w:r>
      </w:hyperlink>
    </w:p>
    <w:p w14:paraId="5283E0EB" w14:textId="73BC55D1" w:rsidR="007A78E0" w:rsidRDefault="007A78E0">
      <w:pPr>
        <w:pStyle w:val="TableofFigures"/>
        <w:tabs>
          <w:tab w:val="right" w:leader="dot" w:pos="9629"/>
        </w:tabs>
        <w:rPr>
          <w:rFonts w:asciiTheme="minorHAnsi" w:eastAsiaTheme="minorEastAsia" w:hAnsiTheme="minorHAnsi"/>
          <w:b w:val="0"/>
          <w:noProof/>
          <w:sz w:val="22"/>
          <w:lang w:val="sv-SE" w:eastAsia="sv-SE"/>
        </w:rPr>
      </w:pPr>
      <w:hyperlink w:anchor="_Toc87060607" w:history="1">
        <w:r w:rsidRPr="00FF313A">
          <w:rPr>
            <w:rStyle w:val="Hyperlink"/>
            <w:noProof/>
          </w:rPr>
          <w:t>Observation 4</w:t>
        </w:r>
        <w:r>
          <w:rPr>
            <w:rFonts w:asciiTheme="minorHAnsi" w:eastAsiaTheme="minorEastAsia" w:hAnsiTheme="minorHAnsi"/>
            <w:b w:val="0"/>
            <w:noProof/>
            <w:sz w:val="22"/>
            <w:lang w:val="sv-SE" w:eastAsia="sv-SE"/>
          </w:rPr>
          <w:tab/>
        </w:r>
        <w:r w:rsidRPr="00FF313A">
          <w:rPr>
            <w:rStyle w:val="Hyperlink"/>
            <w:noProof/>
          </w:rPr>
          <w:t>According to TS 38.213, an orthogonal cover code (OCC) with index 0 is used for a PUCCH resource with PUCCH Format 1 in Table 9.2.1-1.</w:t>
        </w:r>
      </w:hyperlink>
    </w:p>
    <w:p w14:paraId="285866B9" w14:textId="63FCDF0A" w:rsidR="007A78E0" w:rsidRDefault="007A78E0">
      <w:pPr>
        <w:pStyle w:val="TableofFigures"/>
        <w:tabs>
          <w:tab w:val="right" w:leader="dot" w:pos="9629"/>
        </w:tabs>
        <w:rPr>
          <w:rFonts w:asciiTheme="minorHAnsi" w:eastAsiaTheme="minorEastAsia" w:hAnsiTheme="minorHAnsi"/>
          <w:b w:val="0"/>
          <w:noProof/>
          <w:sz w:val="22"/>
          <w:lang w:val="sv-SE" w:eastAsia="sv-SE"/>
        </w:rPr>
      </w:pPr>
      <w:hyperlink w:anchor="_Toc87060608" w:history="1">
        <w:r w:rsidRPr="00FF313A">
          <w:rPr>
            <w:rStyle w:val="Hyperlink"/>
            <w:noProof/>
          </w:rPr>
          <w:t>Observation 5</w:t>
        </w:r>
        <w:r>
          <w:rPr>
            <w:rFonts w:asciiTheme="minorHAnsi" w:eastAsiaTheme="minorEastAsia" w:hAnsiTheme="minorHAnsi"/>
            <w:b w:val="0"/>
            <w:noProof/>
            <w:sz w:val="22"/>
            <w:lang w:val="sv-SE" w:eastAsia="sv-SE"/>
          </w:rPr>
          <w:tab/>
        </w:r>
        <w:r w:rsidRPr="00FF313A">
          <w:rPr>
            <w:rStyle w:val="Hyperlink"/>
            <w:noProof/>
          </w:rPr>
          <w:t>For OCC with index 0 (PUCCH Format 1), the elements of OCC will be only ones thus OCC does not impact the multiplexing of PUCCH transmissions.</w:t>
        </w:r>
      </w:hyperlink>
    </w:p>
    <w:p w14:paraId="62698865" w14:textId="2709597B" w:rsidR="007A78E0" w:rsidRDefault="007A78E0">
      <w:pPr>
        <w:pStyle w:val="TableofFigures"/>
        <w:tabs>
          <w:tab w:val="right" w:leader="dot" w:pos="9629"/>
        </w:tabs>
        <w:rPr>
          <w:rFonts w:asciiTheme="minorHAnsi" w:eastAsiaTheme="minorEastAsia" w:hAnsiTheme="minorHAnsi"/>
          <w:b w:val="0"/>
          <w:noProof/>
          <w:sz w:val="22"/>
          <w:lang w:val="sv-SE" w:eastAsia="sv-SE"/>
        </w:rPr>
      </w:pPr>
      <w:hyperlink w:anchor="_Toc87060609" w:history="1">
        <w:r w:rsidRPr="00FF313A">
          <w:rPr>
            <w:rStyle w:val="Hyperlink"/>
            <w:noProof/>
          </w:rPr>
          <w:t>Observation 6</w:t>
        </w:r>
        <w:r>
          <w:rPr>
            <w:rFonts w:asciiTheme="minorHAnsi" w:eastAsiaTheme="minorEastAsia" w:hAnsiTheme="minorHAnsi"/>
            <w:b w:val="0"/>
            <w:noProof/>
            <w:sz w:val="22"/>
            <w:lang w:val="sv-SE" w:eastAsia="sv-SE"/>
          </w:rPr>
          <w:tab/>
        </w:r>
        <w:r w:rsidRPr="00FF313A">
          <w:rPr>
            <w:rStyle w:val="Hyperlink"/>
            <w:noProof/>
          </w:rPr>
          <w:t>Multiplexing of PUCCH transmissions (with or without FH) can be done by using different time symbols, PRBs, and different cyclic shifts (CS) in time domain.</w:t>
        </w:r>
      </w:hyperlink>
    </w:p>
    <w:p w14:paraId="05A26595" w14:textId="0A34DDA7" w:rsidR="007A78E0" w:rsidRDefault="007A78E0">
      <w:pPr>
        <w:pStyle w:val="TableofFigures"/>
        <w:tabs>
          <w:tab w:val="right" w:leader="dot" w:pos="9629"/>
        </w:tabs>
        <w:rPr>
          <w:rFonts w:asciiTheme="minorHAnsi" w:eastAsiaTheme="minorEastAsia" w:hAnsiTheme="minorHAnsi"/>
          <w:b w:val="0"/>
          <w:noProof/>
          <w:sz w:val="22"/>
          <w:lang w:val="sv-SE" w:eastAsia="sv-SE"/>
        </w:rPr>
      </w:pPr>
      <w:hyperlink w:anchor="_Toc87060610" w:history="1">
        <w:r w:rsidRPr="00FF313A">
          <w:rPr>
            <w:rStyle w:val="Hyperlink"/>
            <w:noProof/>
          </w:rPr>
          <w:t>Observation 7</w:t>
        </w:r>
        <w:r>
          <w:rPr>
            <w:rFonts w:asciiTheme="minorHAnsi" w:eastAsiaTheme="minorEastAsia" w:hAnsiTheme="minorHAnsi"/>
            <w:b w:val="0"/>
            <w:noProof/>
            <w:sz w:val="22"/>
            <w:lang w:val="sv-SE" w:eastAsia="sv-SE"/>
          </w:rPr>
          <w:tab/>
        </w:r>
        <w:r w:rsidRPr="00FF313A">
          <w:rPr>
            <w:rStyle w:val="Hyperlink"/>
            <w:noProof/>
          </w:rPr>
          <w:t>With the support of separate center frequencies for initial UL/DL BWPs in TDD during initial access, all concerns regarding the PUSCH resource fragmentation and the presence of CD-SSB and CORESET #0 within the initial DL BWP are resolved.</w:t>
        </w:r>
      </w:hyperlink>
    </w:p>
    <w:p w14:paraId="421FC545" w14:textId="019CD6A2" w:rsidR="007A78E0" w:rsidRDefault="007A78E0">
      <w:pPr>
        <w:pStyle w:val="TableofFigures"/>
        <w:tabs>
          <w:tab w:val="right" w:leader="dot" w:pos="9629"/>
        </w:tabs>
        <w:rPr>
          <w:rFonts w:asciiTheme="minorHAnsi" w:eastAsiaTheme="minorEastAsia" w:hAnsiTheme="minorHAnsi"/>
          <w:b w:val="0"/>
          <w:noProof/>
          <w:sz w:val="22"/>
          <w:lang w:val="sv-SE" w:eastAsia="sv-SE"/>
        </w:rPr>
      </w:pPr>
      <w:hyperlink w:anchor="_Toc87060611" w:history="1">
        <w:r w:rsidRPr="00FF313A">
          <w:rPr>
            <w:rStyle w:val="Hyperlink"/>
            <w:noProof/>
          </w:rPr>
          <w:t>Observation 8</w:t>
        </w:r>
        <w:r>
          <w:rPr>
            <w:rFonts w:asciiTheme="minorHAnsi" w:eastAsiaTheme="minorEastAsia" w:hAnsiTheme="minorHAnsi"/>
            <w:b w:val="0"/>
            <w:noProof/>
            <w:sz w:val="22"/>
            <w:lang w:val="sv-SE" w:eastAsia="sv-SE"/>
          </w:rPr>
          <w:tab/>
        </w:r>
        <w:r w:rsidRPr="00FF313A">
          <w:rPr>
            <w:rStyle w:val="Hyperlink"/>
            <w:noProof/>
          </w:rPr>
          <w:t>During initial access, frequency retuning between initial DL and UL BWPs center frequencies is not expected to be an issue as far as the UE implementation is concerned, given the relaxed required switching time between DL and UL during initial access.</w:t>
        </w:r>
      </w:hyperlink>
    </w:p>
    <w:p w14:paraId="57DFAE20" w14:textId="29E0A18E" w:rsidR="007A78E0" w:rsidRDefault="007A78E0">
      <w:pPr>
        <w:pStyle w:val="TableofFigures"/>
        <w:tabs>
          <w:tab w:val="right" w:leader="dot" w:pos="9629"/>
        </w:tabs>
        <w:rPr>
          <w:rFonts w:asciiTheme="minorHAnsi" w:eastAsiaTheme="minorEastAsia" w:hAnsiTheme="minorHAnsi"/>
          <w:b w:val="0"/>
          <w:noProof/>
          <w:sz w:val="22"/>
          <w:lang w:val="sv-SE" w:eastAsia="sv-SE"/>
        </w:rPr>
      </w:pPr>
      <w:hyperlink w:anchor="_Toc87060612" w:history="1">
        <w:r w:rsidRPr="00FF313A">
          <w:rPr>
            <w:rStyle w:val="Hyperlink"/>
            <w:noProof/>
          </w:rPr>
          <w:t>Observation 9</w:t>
        </w:r>
        <w:r>
          <w:rPr>
            <w:rFonts w:asciiTheme="minorHAnsi" w:eastAsiaTheme="minorEastAsia" w:hAnsiTheme="minorHAnsi"/>
            <w:b w:val="0"/>
            <w:noProof/>
            <w:sz w:val="22"/>
            <w:lang w:val="sv-SE" w:eastAsia="sv-SE"/>
          </w:rPr>
          <w:tab/>
        </w:r>
        <w:r w:rsidRPr="00FF313A">
          <w:rPr>
            <w:rStyle w:val="Hyperlink"/>
            <w:noProof/>
          </w:rPr>
          <w:t>Transmitting additional SSBs in every DL BWP results in significant overhead, increased inter-cell interference, and reduced network energy/spectral efficiency.</w:t>
        </w:r>
      </w:hyperlink>
    </w:p>
    <w:p w14:paraId="3B27D519" w14:textId="5EAA4D02" w:rsidR="007A78E0" w:rsidRDefault="007A78E0">
      <w:pPr>
        <w:pStyle w:val="TableofFigures"/>
        <w:tabs>
          <w:tab w:val="right" w:leader="dot" w:pos="9629"/>
        </w:tabs>
        <w:rPr>
          <w:rFonts w:asciiTheme="minorHAnsi" w:eastAsiaTheme="minorEastAsia" w:hAnsiTheme="minorHAnsi"/>
          <w:b w:val="0"/>
          <w:noProof/>
          <w:sz w:val="22"/>
          <w:lang w:val="sv-SE" w:eastAsia="sv-SE"/>
        </w:rPr>
      </w:pPr>
      <w:hyperlink w:anchor="_Toc87060613" w:history="1">
        <w:r w:rsidRPr="00FF313A">
          <w:rPr>
            <w:rStyle w:val="Hyperlink"/>
            <w:noProof/>
          </w:rPr>
          <w:t>Observation 10</w:t>
        </w:r>
        <w:r>
          <w:rPr>
            <w:rFonts w:asciiTheme="minorHAnsi" w:eastAsiaTheme="minorEastAsia" w:hAnsiTheme="minorHAnsi"/>
            <w:b w:val="0"/>
            <w:noProof/>
            <w:sz w:val="22"/>
            <w:lang w:val="sv-SE" w:eastAsia="sv-SE"/>
          </w:rPr>
          <w:tab/>
        </w:r>
        <w:r w:rsidRPr="00FF313A">
          <w:rPr>
            <w:rStyle w:val="Hyperlink"/>
            <w:noProof/>
          </w:rPr>
          <w:t>In a 40 MHz TDD carrier with three RedCap-specific DL BWPs, the additional overhead of SSB transmissions can be around 6%.</w:t>
        </w:r>
      </w:hyperlink>
    </w:p>
    <w:p w14:paraId="0226E0E6" w14:textId="688F1C22" w:rsidR="007A78E0" w:rsidRDefault="007A78E0">
      <w:pPr>
        <w:pStyle w:val="TableofFigures"/>
        <w:tabs>
          <w:tab w:val="right" w:leader="dot" w:pos="9629"/>
        </w:tabs>
        <w:rPr>
          <w:rFonts w:asciiTheme="minorHAnsi" w:eastAsiaTheme="minorEastAsia" w:hAnsiTheme="minorHAnsi"/>
          <w:b w:val="0"/>
          <w:noProof/>
          <w:sz w:val="22"/>
          <w:lang w:val="sv-SE" w:eastAsia="sv-SE"/>
        </w:rPr>
      </w:pPr>
      <w:hyperlink w:anchor="_Toc87060614" w:history="1">
        <w:r w:rsidRPr="00FF313A">
          <w:rPr>
            <w:rStyle w:val="Hyperlink"/>
            <w:noProof/>
          </w:rPr>
          <w:t>Observation 11</w:t>
        </w:r>
        <w:r>
          <w:rPr>
            <w:rFonts w:asciiTheme="minorHAnsi" w:eastAsiaTheme="minorEastAsia" w:hAnsiTheme="minorHAnsi"/>
            <w:b w:val="0"/>
            <w:noProof/>
            <w:sz w:val="22"/>
            <w:lang w:val="sv-SE" w:eastAsia="sv-SE"/>
          </w:rPr>
          <w:tab/>
        </w:r>
        <w:r w:rsidRPr="00FF313A">
          <w:rPr>
            <w:rStyle w:val="Hyperlink"/>
            <w:noProof/>
          </w:rPr>
          <w:t>In FR2, considering 64 SSBs per SSB burst, a 20 ms SSB periodicity, and a 50% DL/UL split, the overhead of SSB transmissions is over 21%.</w:t>
        </w:r>
      </w:hyperlink>
    </w:p>
    <w:p w14:paraId="288E8F9A" w14:textId="412331BA" w:rsidR="007A78E0" w:rsidRDefault="007A78E0">
      <w:pPr>
        <w:pStyle w:val="TableofFigures"/>
        <w:tabs>
          <w:tab w:val="right" w:leader="dot" w:pos="9629"/>
        </w:tabs>
        <w:rPr>
          <w:rFonts w:asciiTheme="minorHAnsi" w:eastAsiaTheme="minorEastAsia" w:hAnsiTheme="minorHAnsi"/>
          <w:b w:val="0"/>
          <w:noProof/>
          <w:sz w:val="22"/>
          <w:lang w:val="sv-SE" w:eastAsia="sv-SE"/>
        </w:rPr>
      </w:pPr>
      <w:hyperlink w:anchor="_Toc87060615" w:history="1">
        <w:r w:rsidRPr="00FF313A">
          <w:rPr>
            <w:rStyle w:val="Hyperlink"/>
            <w:noProof/>
          </w:rPr>
          <w:t>Observation 12</w:t>
        </w:r>
        <w:r>
          <w:rPr>
            <w:rFonts w:asciiTheme="minorHAnsi" w:eastAsiaTheme="minorEastAsia" w:hAnsiTheme="minorHAnsi"/>
            <w:b w:val="0"/>
            <w:noProof/>
            <w:sz w:val="22"/>
            <w:lang w:val="sv-SE" w:eastAsia="sv-SE"/>
          </w:rPr>
          <w:tab/>
        </w:r>
        <w:r w:rsidRPr="00FF313A">
          <w:rPr>
            <w:rStyle w:val="Hyperlink"/>
            <w:noProof/>
          </w:rPr>
          <w:t>UE may need to relay on SSB for various purposes including time-frequency synchronization and RRM measurements.</w:t>
        </w:r>
      </w:hyperlink>
    </w:p>
    <w:p w14:paraId="0027DBB2" w14:textId="34CA2932" w:rsidR="007A78E0" w:rsidRDefault="007A78E0">
      <w:pPr>
        <w:pStyle w:val="TableofFigures"/>
        <w:tabs>
          <w:tab w:val="right" w:leader="dot" w:pos="9629"/>
        </w:tabs>
        <w:rPr>
          <w:rFonts w:asciiTheme="minorHAnsi" w:eastAsiaTheme="minorEastAsia" w:hAnsiTheme="minorHAnsi"/>
          <w:b w:val="0"/>
          <w:noProof/>
          <w:sz w:val="22"/>
          <w:lang w:val="sv-SE" w:eastAsia="sv-SE"/>
        </w:rPr>
      </w:pPr>
      <w:hyperlink w:anchor="_Toc87060616" w:history="1">
        <w:r w:rsidRPr="00FF313A">
          <w:rPr>
            <w:rStyle w:val="Hyperlink"/>
            <w:noProof/>
          </w:rPr>
          <w:t>Observation 13</w:t>
        </w:r>
        <w:r>
          <w:rPr>
            <w:rFonts w:asciiTheme="minorHAnsi" w:eastAsiaTheme="minorEastAsia" w:hAnsiTheme="minorHAnsi"/>
            <w:b w:val="0"/>
            <w:noProof/>
            <w:sz w:val="22"/>
            <w:lang w:val="sv-SE" w:eastAsia="sv-SE"/>
          </w:rPr>
          <w:tab/>
        </w:r>
        <w:r w:rsidRPr="00FF313A">
          <w:rPr>
            <w:rStyle w:val="Hyperlink"/>
            <w:noProof/>
          </w:rPr>
          <w:t>In inactive/idle mode, the RedCap UE can rely on the MIB-configured CORESET #0 and legacy SSB for paging and then switch to a separate initial DL BWP for random access.</w:t>
        </w:r>
      </w:hyperlink>
    </w:p>
    <w:p w14:paraId="1423F07E" w14:textId="3DC2C097" w:rsidR="007A78E0" w:rsidRDefault="007A78E0">
      <w:pPr>
        <w:pStyle w:val="TableofFigures"/>
        <w:tabs>
          <w:tab w:val="right" w:leader="dot" w:pos="9629"/>
        </w:tabs>
        <w:rPr>
          <w:rFonts w:asciiTheme="minorHAnsi" w:eastAsiaTheme="minorEastAsia" w:hAnsiTheme="minorHAnsi"/>
          <w:b w:val="0"/>
          <w:noProof/>
          <w:sz w:val="22"/>
          <w:lang w:val="sv-SE" w:eastAsia="sv-SE"/>
        </w:rPr>
      </w:pPr>
      <w:hyperlink w:anchor="_Toc87060617" w:history="1">
        <w:r w:rsidRPr="00FF313A">
          <w:rPr>
            <w:rStyle w:val="Hyperlink"/>
            <w:noProof/>
          </w:rPr>
          <w:t>Observation 14</w:t>
        </w:r>
        <w:r>
          <w:rPr>
            <w:rFonts w:asciiTheme="minorHAnsi" w:eastAsiaTheme="minorEastAsia" w:hAnsiTheme="minorHAnsi"/>
            <w:b w:val="0"/>
            <w:noProof/>
            <w:sz w:val="22"/>
            <w:lang w:val="sv-SE" w:eastAsia="sv-SE"/>
          </w:rPr>
          <w:tab/>
        </w:r>
        <w:r w:rsidRPr="00FF313A">
          <w:rPr>
            <w:rStyle w:val="Hyperlink"/>
            <w:noProof/>
          </w:rPr>
          <w:t>For BWP#0 configuration option 1, the use of initial DL BWP in connected mode is quite limited from both functionality and power saving perspectives.</w:t>
        </w:r>
      </w:hyperlink>
    </w:p>
    <w:p w14:paraId="41CDC76C" w14:textId="41F4C325" w:rsidR="007A78E0" w:rsidRDefault="007A78E0">
      <w:pPr>
        <w:pStyle w:val="TableofFigures"/>
        <w:tabs>
          <w:tab w:val="right" w:leader="dot" w:pos="9629"/>
        </w:tabs>
        <w:rPr>
          <w:rFonts w:asciiTheme="minorHAnsi" w:eastAsiaTheme="minorEastAsia" w:hAnsiTheme="minorHAnsi"/>
          <w:b w:val="0"/>
          <w:noProof/>
          <w:sz w:val="22"/>
          <w:lang w:val="sv-SE" w:eastAsia="sv-SE"/>
        </w:rPr>
      </w:pPr>
      <w:hyperlink w:anchor="_Toc87060618" w:history="1">
        <w:r w:rsidRPr="00FF313A">
          <w:rPr>
            <w:rStyle w:val="Hyperlink"/>
            <w:noProof/>
          </w:rPr>
          <w:t>Observation 15</w:t>
        </w:r>
        <w:r>
          <w:rPr>
            <w:rFonts w:asciiTheme="minorHAnsi" w:eastAsiaTheme="minorEastAsia" w:hAnsiTheme="minorHAnsi"/>
            <w:b w:val="0"/>
            <w:noProof/>
            <w:sz w:val="22"/>
            <w:lang w:val="sv-SE" w:eastAsia="sv-SE"/>
          </w:rPr>
          <w:tab/>
        </w:r>
        <w:r w:rsidRPr="00FF313A">
          <w:rPr>
            <w:rStyle w:val="Hyperlink"/>
            <w:noProof/>
          </w:rPr>
          <w:t>In case the separate initial DL BWP is used for both paging and random access, the RedCap UE can rely on RF retuning to acquire legacy SSB during DRX inactive time.</w:t>
        </w:r>
      </w:hyperlink>
    </w:p>
    <w:p w14:paraId="6225A1B8" w14:textId="0E68648B" w:rsidR="006E1C82" w:rsidRDefault="006F6582" w:rsidP="00221491">
      <w:pPr>
        <w:pStyle w:val="BodyText"/>
      </w:pPr>
      <w:r>
        <w:rPr>
          <w:b/>
          <w:bCs/>
        </w:rPr>
        <w:fldChar w:fldCharType="end"/>
      </w:r>
      <w:r w:rsidR="008E065E" w:rsidRPr="00CE0424">
        <w:t xml:space="preserve">Based on the discussion in </w:t>
      </w:r>
      <w:r w:rsidR="007729A2">
        <w:t xml:space="preserve">the previous </w:t>
      </w:r>
      <w:r w:rsidR="008E065E" w:rsidRPr="00CE0424">
        <w:t>section</w:t>
      </w:r>
      <w:r w:rsidR="007729A2">
        <w:t>s</w:t>
      </w:r>
      <w:r w:rsidR="008E065E" w:rsidRPr="00CE0424">
        <w:t xml:space="preserve"> we propose the following:</w:t>
      </w:r>
    </w:p>
    <w:p w14:paraId="029829E1" w14:textId="020AE6EA" w:rsidR="007A78E0" w:rsidRDefault="006E1C82">
      <w:pPr>
        <w:pStyle w:val="TableofFigures"/>
        <w:tabs>
          <w:tab w:val="right" w:leader="dot" w:pos="9629"/>
        </w:tabs>
        <w:rPr>
          <w:rFonts w:asciiTheme="minorHAnsi" w:eastAsiaTheme="minorEastAsia" w:hAnsiTheme="minorHAnsi"/>
          <w:b w:val="0"/>
          <w:noProof/>
          <w:sz w:val="22"/>
          <w:lang w:val="sv-SE" w:eastAsia="sv-SE"/>
        </w:rPr>
      </w:pPr>
      <w:r w:rsidRPr="008E3596">
        <w:rPr>
          <w:b w:val="0"/>
          <w:bCs/>
        </w:rPr>
        <w:fldChar w:fldCharType="begin"/>
      </w:r>
      <w:r>
        <w:rPr>
          <w:b w:val="0"/>
          <w:bCs/>
        </w:rPr>
        <w:instrText xml:space="preserve"> TOC \n \h \z \t "Proposal" \c </w:instrText>
      </w:r>
      <w:r w:rsidRPr="008E3596">
        <w:rPr>
          <w:b w:val="0"/>
          <w:bCs/>
        </w:rPr>
        <w:fldChar w:fldCharType="separate"/>
      </w:r>
      <w:hyperlink w:anchor="_Toc87060619" w:history="1">
        <w:r w:rsidR="007A78E0" w:rsidRPr="004A7F0D">
          <w:rPr>
            <w:rStyle w:val="Hyperlink"/>
            <w:noProof/>
          </w:rPr>
          <w:t>Proposal 1</w:t>
        </w:r>
        <w:r w:rsidR="007A78E0">
          <w:rPr>
            <w:rFonts w:asciiTheme="minorHAnsi" w:eastAsiaTheme="minorEastAsia" w:hAnsiTheme="minorHAnsi"/>
            <w:b w:val="0"/>
            <w:noProof/>
            <w:sz w:val="22"/>
            <w:lang w:val="sv-SE" w:eastAsia="sv-SE"/>
          </w:rPr>
          <w:tab/>
        </w:r>
        <w:r w:rsidR="007A78E0" w:rsidRPr="004A7F0D">
          <w:rPr>
            <w:rStyle w:val="Hyperlink"/>
            <w:noProof/>
          </w:rPr>
          <w:t>In Rel-17, a single separate initial UL BWP for RedCap UEs can be configured in SIB.</w:t>
        </w:r>
      </w:hyperlink>
    </w:p>
    <w:p w14:paraId="228B4042" w14:textId="54BCFBE6" w:rsidR="007A78E0" w:rsidRDefault="007A78E0">
      <w:pPr>
        <w:pStyle w:val="TableofFigures"/>
        <w:tabs>
          <w:tab w:val="right" w:leader="dot" w:pos="9629"/>
        </w:tabs>
        <w:rPr>
          <w:rFonts w:asciiTheme="minorHAnsi" w:eastAsiaTheme="minorEastAsia" w:hAnsiTheme="minorHAnsi"/>
          <w:b w:val="0"/>
          <w:noProof/>
          <w:sz w:val="22"/>
          <w:lang w:val="sv-SE" w:eastAsia="sv-SE"/>
        </w:rPr>
      </w:pPr>
      <w:hyperlink w:anchor="_Toc87060620" w:history="1">
        <w:r w:rsidRPr="004A7F0D">
          <w:rPr>
            <w:rStyle w:val="Hyperlink"/>
            <w:rFonts w:eastAsia="Calibri"/>
            <w:noProof/>
            <w:spacing w:val="2"/>
            <w:lang w:eastAsia="en-US"/>
          </w:rPr>
          <w:t>Proposal 2</w:t>
        </w:r>
        <w:r>
          <w:rPr>
            <w:rFonts w:asciiTheme="minorHAnsi" w:eastAsiaTheme="minorEastAsia" w:hAnsiTheme="minorHAnsi"/>
            <w:b w:val="0"/>
            <w:noProof/>
            <w:sz w:val="22"/>
            <w:lang w:val="sv-SE" w:eastAsia="sv-SE"/>
          </w:rPr>
          <w:tab/>
        </w:r>
        <w:r w:rsidRPr="004A7F0D">
          <w:rPr>
            <w:rStyle w:val="Hyperlink"/>
            <w:rFonts w:eastAsia="Calibri"/>
            <w:noProof/>
            <w:spacing w:val="2"/>
            <w:lang w:eastAsia="en-US"/>
          </w:rPr>
          <w:t>It needs to be specified which frequency hop (PRB) is used for PUCCH transmissions when the FH is disabled for RedCap. This may affect the PUCCH resource set to be used for RedCap.</w:t>
        </w:r>
      </w:hyperlink>
    </w:p>
    <w:p w14:paraId="532CDB33" w14:textId="55B1A0F7" w:rsidR="007A78E0" w:rsidRDefault="007A78E0">
      <w:pPr>
        <w:pStyle w:val="TableofFigures"/>
        <w:tabs>
          <w:tab w:val="right" w:leader="dot" w:pos="9629"/>
        </w:tabs>
        <w:rPr>
          <w:rFonts w:asciiTheme="minorHAnsi" w:eastAsiaTheme="minorEastAsia" w:hAnsiTheme="minorHAnsi"/>
          <w:b w:val="0"/>
          <w:noProof/>
          <w:sz w:val="22"/>
          <w:lang w:val="sv-SE" w:eastAsia="sv-SE"/>
        </w:rPr>
      </w:pPr>
      <w:hyperlink w:anchor="_Toc87060621" w:history="1">
        <w:r w:rsidRPr="004A7F0D">
          <w:rPr>
            <w:rStyle w:val="Hyperlink"/>
            <w:rFonts w:eastAsia="Calibri"/>
            <w:noProof/>
            <w:spacing w:val="2"/>
            <w:lang w:eastAsia="en-US"/>
          </w:rPr>
          <w:t>Proposal 3</w:t>
        </w:r>
        <w:r>
          <w:rPr>
            <w:rFonts w:asciiTheme="minorHAnsi" w:eastAsiaTheme="minorEastAsia" w:hAnsiTheme="minorHAnsi"/>
            <w:b w:val="0"/>
            <w:noProof/>
            <w:sz w:val="22"/>
            <w:lang w:val="sv-SE" w:eastAsia="sv-SE"/>
          </w:rPr>
          <w:tab/>
        </w:r>
        <w:r w:rsidRPr="004A7F0D">
          <w:rPr>
            <w:rStyle w:val="Hyperlink"/>
            <w:rFonts w:eastAsia="Calibri"/>
            <w:noProof/>
            <w:spacing w:val="2"/>
            <w:lang w:eastAsia="en-US"/>
          </w:rPr>
          <w:t>Atleast the following specification changes are needed to support enabling/disabling PUCCH FH for RedCap:</w:t>
        </w:r>
      </w:hyperlink>
    </w:p>
    <w:p w14:paraId="7AE21F59" w14:textId="2DECA3FD" w:rsidR="007A78E0" w:rsidRDefault="007A78E0" w:rsidP="007A78E0">
      <w:pPr>
        <w:pStyle w:val="TableofFigures"/>
        <w:tabs>
          <w:tab w:val="right" w:leader="dot" w:pos="9629"/>
        </w:tabs>
        <w:ind w:left="2127" w:hanging="284"/>
        <w:rPr>
          <w:rFonts w:asciiTheme="minorHAnsi" w:eastAsiaTheme="minorEastAsia" w:hAnsiTheme="minorHAnsi"/>
          <w:b w:val="0"/>
          <w:noProof/>
          <w:sz w:val="22"/>
          <w:lang w:val="sv-SE" w:eastAsia="sv-SE"/>
        </w:rPr>
      </w:pPr>
      <w:hyperlink w:anchor="_Toc87060622" w:history="1">
        <w:r w:rsidRPr="004A7F0D">
          <w:rPr>
            <w:rStyle w:val="Hyperlink"/>
            <w:rFonts w:ascii="Symbol" w:eastAsia="Calibri" w:hAnsi="Symbol"/>
            <w:noProof/>
            <w:spacing w:val="2"/>
            <w:lang w:eastAsia="en-US"/>
          </w:rPr>
          <w:t></w:t>
        </w:r>
        <w:r>
          <w:rPr>
            <w:rFonts w:asciiTheme="minorHAnsi" w:eastAsiaTheme="minorEastAsia" w:hAnsiTheme="minorHAnsi"/>
            <w:b w:val="0"/>
            <w:noProof/>
            <w:sz w:val="22"/>
            <w:lang w:val="sv-SE" w:eastAsia="sv-SE"/>
          </w:rPr>
          <w:tab/>
        </w:r>
        <w:r w:rsidRPr="004A7F0D">
          <w:rPr>
            <w:rStyle w:val="Hyperlink"/>
            <w:rFonts w:eastAsia="Calibri"/>
            <w:noProof/>
            <w:spacing w:val="2"/>
            <w:lang w:eastAsia="en-US"/>
          </w:rPr>
          <w:t>TS 38.331 (PUCCH-ConfigCommon): For RedCap UEs, a new information element in SIB to indicate whether the PUCCH frequency hopping for RedCap UEs is enabled or disabled.</w:t>
        </w:r>
      </w:hyperlink>
    </w:p>
    <w:p w14:paraId="4FD981C8" w14:textId="64E63279" w:rsidR="007A78E0" w:rsidRDefault="007A78E0" w:rsidP="007A78E0">
      <w:pPr>
        <w:pStyle w:val="TableofFigures"/>
        <w:tabs>
          <w:tab w:val="right" w:leader="dot" w:pos="9629"/>
        </w:tabs>
        <w:ind w:left="2127" w:hanging="284"/>
        <w:rPr>
          <w:rFonts w:asciiTheme="minorHAnsi" w:eastAsiaTheme="minorEastAsia" w:hAnsiTheme="minorHAnsi"/>
          <w:b w:val="0"/>
          <w:noProof/>
          <w:sz w:val="22"/>
          <w:lang w:val="sv-SE" w:eastAsia="sv-SE"/>
        </w:rPr>
      </w:pPr>
      <w:hyperlink w:anchor="_Toc87060623" w:history="1">
        <w:r w:rsidRPr="004A7F0D">
          <w:rPr>
            <w:rStyle w:val="Hyperlink"/>
            <w:rFonts w:ascii="Symbol" w:eastAsia="Calibri" w:hAnsi="Symbol"/>
            <w:noProof/>
            <w:spacing w:val="2"/>
            <w:lang w:eastAsia="en-US"/>
          </w:rPr>
          <w:t></w:t>
        </w:r>
        <w:r>
          <w:rPr>
            <w:rFonts w:asciiTheme="minorHAnsi" w:eastAsiaTheme="minorEastAsia" w:hAnsiTheme="minorHAnsi"/>
            <w:b w:val="0"/>
            <w:noProof/>
            <w:sz w:val="22"/>
            <w:lang w:val="sv-SE" w:eastAsia="sv-SE"/>
          </w:rPr>
          <w:tab/>
        </w:r>
        <w:r w:rsidRPr="004A7F0D">
          <w:rPr>
            <w:rStyle w:val="Hyperlink"/>
            <w:rFonts w:eastAsia="Calibri"/>
            <w:noProof/>
            <w:spacing w:val="2"/>
            <w:lang w:eastAsia="en-US"/>
          </w:rPr>
          <w:t>TS 38.213 (Section 9.2.1 PUCCH Resource Sets):  Defining PUCCH resource sets for RedCap considering the possibility of disabling PUCCH FH before a dedicated PUCCH resource configuration.</w:t>
        </w:r>
      </w:hyperlink>
    </w:p>
    <w:p w14:paraId="6654B796" w14:textId="0B413329" w:rsidR="007A78E0" w:rsidRDefault="007A78E0">
      <w:pPr>
        <w:pStyle w:val="TableofFigures"/>
        <w:tabs>
          <w:tab w:val="right" w:leader="dot" w:pos="9629"/>
        </w:tabs>
        <w:rPr>
          <w:rFonts w:asciiTheme="minorHAnsi" w:eastAsiaTheme="minorEastAsia" w:hAnsiTheme="minorHAnsi"/>
          <w:b w:val="0"/>
          <w:noProof/>
          <w:sz w:val="22"/>
          <w:lang w:val="sv-SE" w:eastAsia="sv-SE"/>
        </w:rPr>
      </w:pPr>
      <w:hyperlink w:anchor="_Toc87060624" w:history="1">
        <w:r w:rsidRPr="004A7F0D">
          <w:rPr>
            <w:rStyle w:val="Hyperlink"/>
            <w:noProof/>
          </w:rPr>
          <w:t>Proposal 4</w:t>
        </w:r>
        <w:r>
          <w:rPr>
            <w:rFonts w:asciiTheme="minorHAnsi" w:eastAsiaTheme="minorEastAsia" w:hAnsiTheme="minorHAnsi"/>
            <w:b w:val="0"/>
            <w:noProof/>
            <w:sz w:val="22"/>
            <w:lang w:val="sv-SE" w:eastAsia="sv-SE"/>
          </w:rPr>
          <w:tab/>
        </w:r>
        <w:r w:rsidRPr="004A7F0D">
          <w:rPr>
            <w:rStyle w:val="Hyperlink"/>
            <w:noProof/>
          </w:rPr>
          <w:t>There is no need for any enhancements or specification changes in order to support multiplexing of non-FH and FH PUCCH transmissions in PUCCH resources.</w:t>
        </w:r>
      </w:hyperlink>
    </w:p>
    <w:p w14:paraId="5B13DED7" w14:textId="43378D0C" w:rsidR="007A78E0" w:rsidRDefault="007A78E0">
      <w:pPr>
        <w:pStyle w:val="TableofFigures"/>
        <w:tabs>
          <w:tab w:val="right" w:leader="dot" w:pos="9629"/>
        </w:tabs>
        <w:rPr>
          <w:rFonts w:asciiTheme="minorHAnsi" w:eastAsiaTheme="minorEastAsia" w:hAnsiTheme="minorHAnsi"/>
          <w:b w:val="0"/>
          <w:noProof/>
          <w:sz w:val="22"/>
          <w:lang w:val="sv-SE" w:eastAsia="sv-SE"/>
        </w:rPr>
      </w:pPr>
      <w:hyperlink w:anchor="_Toc87060625" w:history="1">
        <w:r w:rsidRPr="004A7F0D">
          <w:rPr>
            <w:rStyle w:val="Hyperlink"/>
            <w:noProof/>
          </w:rPr>
          <w:t>Proposal 5</w:t>
        </w:r>
        <w:r>
          <w:rPr>
            <w:rFonts w:asciiTheme="minorHAnsi" w:eastAsiaTheme="minorEastAsia" w:hAnsiTheme="minorHAnsi"/>
            <w:b w:val="0"/>
            <w:noProof/>
            <w:sz w:val="22"/>
            <w:lang w:val="sv-SE" w:eastAsia="sv-SE"/>
          </w:rPr>
          <w:tab/>
        </w:r>
        <w:r w:rsidRPr="004A7F0D">
          <w:rPr>
            <w:rStyle w:val="Hyperlink"/>
            <w:noProof/>
          </w:rPr>
          <w:t>A separate SIB-configured initial DL BWP for RedCap can be used during the initial access.</w:t>
        </w:r>
      </w:hyperlink>
    </w:p>
    <w:p w14:paraId="2458C6C8" w14:textId="162C56F2" w:rsidR="007A78E0" w:rsidRDefault="007A78E0">
      <w:pPr>
        <w:pStyle w:val="TableofFigures"/>
        <w:tabs>
          <w:tab w:val="right" w:leader="dot" w:pos="9629"/>
        </w:tabs>
        <w:rPr>
          <w:rFonts w:asciiTheme="minorHAnsi" w:eastAsiaTheme="minorEastAsia" w:hAnsiTheme="minorHAnsi"/>
          <w:b w:val="0"/>
          <w:noProof/>
          <w:sz w:val="22"/>
          <w:lang w:val="sv-SE" w:eastAsia="sv-SE"/>
        </w:rPr>
      </w:pPr>
      <w:hyperlink w:anchor="_Toc87060626" w:history="1">
        <w:r w:rsidRPr="004A7F0D">
          <w:rPr>
            <w:rStyle w:val="Hyperlink"/>
            <w:noProof/>
          </w:rPr>
          <w:t>Proposal 6</w:t>
        </w:r>
        <w:r>
          <w:rPr>
            <w:rFonts w:asciiTheme="minorHAnsi" w:eastAsiaTheme="minorEastAsia" w:hAnsiTheme="minorHAnsi"/>
            <w:b w:val="0"/>
            <w:noProof/>
            <w:sz w:val="22"/>
            <w:lang w:val="sv-SE" w:eastAsia="sv-SE"/>
          </w:rPr>
          <w:tab/>
        </w:r>
        <w:r w:rsidRPr="004A7F0D">
          <w:rPr>
            <w:rStyle w:val="Hyperlink"/>
            <w:noProof/>
          </w:rPr>
          <w:t xml:space="preserve">For RedCap UEs, the IE </w:t>
        </w:r>
        <w:r w:rsidRPr="004A7F0D">
          <w:rPr>
            <w:rStyle w:val="Hyperlink"/>
            <w:i/>
            <w:iCs/>
            <w:noProof/>
          </w:rPr>
          <w:t xml:space="preserve">locationAndBandwidth </w:t>
        </w:r>
        <w:r w:rsidRPr="004A7F0D">
          <w:rPr>
            <w:rStyle w:val="Hyperlink"/>
            <w:noProof/>
          </w:rPr>
          <w:t>specified in the SIB-configured initial DL BWP can be applied and used during the initial access.</w:t>
        </w:r>
      </w:hyperlink>
    </w:p>
    <w:p w14:paraId="7CCEB6FA" w14:textId="12DC60F7" w:rsidR="007A78E0" w:rsidRDefault="007A78E0">
      <w:pPr>
        <w:pStyle w:val="TableofFigures"/>
        <w:tabs>
          <w:tab w:val="right" w:leader="dot" w:pos="9629"/>
        </w:tabs>
        <w:rPr>
          <w:rFonts w:asciiTheme="minorHAnsi" w:eastAsiaTheme="minorEastAsia" w:hAnsiTheme="minorHAnsi"/>
          <w:b w:val="0"/>
          <w:noProof/>
          <w:sz w:val="22"/>
          <w:lang w:val="sv-SE" w:eastAsia="sv-SE"/>
        </w:rPr>
      </w:pPr>
      <w:hyperlink w:anchor="_Toc87060627" w:history="1">
        <w:r w:rsidRPr="004A7F0D">
          <w:rPr>
            <w:rStyle w:val="Hyperlink"/>
            <w:noProof/>
          </w:rPr>
          <w:t>Proposal 7</w:t>
        </w:r>
        <w:r>
          <w:rPr>
            <w:rFonts w:asciiTheme="minorHAnsi" w:eastAsiaTheme="minorEastAsia" w:hAnsiTheme="minorHAnsi"/>
            <w:b w:val="0"/>
            <w:noProof/>
            <w:sz w:val="22"/>
            <w:lang w:val="sv-SE" w:eastAsia="sv-SE"/>
          </w:rPr>
          <w:tab/>
        </w:r>
        <w:r w:rsidRPr="004A7F0D">
          <w:rPr>
            <w:rStyle w:val="Hyperlink"/>
            <w:noProof/>
          </w:rPr>
          <w:t>Confirm the working assumption in the sub-bullet related to separate initial DL BWP from RAN1#106-bis-e that “It can be used during initial access”.</w:t>
        </w:r>
      </w:hyperlink>
    </w:p>
    <w:p w14:paraId="214E8A3C" w14:textId="7DBFEEBC" w:rsidR="007A78E0" w:rsidRDefault="007A78E0">
      <w:pPr>
        <w:pStyle w:val="TableofFigures"/>
        <w:tabs>
          <w:tab w:val="right" w:leader="dot" w:pos="9629"/>
        </w:tabs>
        <w:rPr>
          <w:rFonts w:asciiTheme="minorHAnsi" w:eastAsiaTheme="minorEastAsia" w:hAnsiTheme="minorHAnsi"/>
          <w:b w:val="0"/>
          <w:noProof/>
          <w:sz w:val="22"/>
          <w:lang w:val="sv-SE" w:eastAsia="sv-SE"/>
        </w:rPr>
      </w:pPr>
      <w:hyperlink w:anchor="_Toc87060628" w:history="1">
        <w:r w:rsidRPr="004A7F0D">
          <w:rPr>
            <w:rStyle w:val="Hyperlink"/>
            <w:noProof/>
          </w:rPr>
          <w:t>Proposal 8</w:t>
        </w:r>
        <w:r>
          <w:rPr>
            <w:rFonts w:asciiTheme="minorHAnsi" w:eastAsiaTheme="minorEastAsia" w:hAnsiTheme="minorHAnsi"/>
            <w:b w:val="0"/>
            <w:noProof/>
            <w:sz w:val="22"/>
            <w:lang w:val="sv-SE" w:eastAsia="sv-SE"/>
          </w:rPr>
          <w:tab/>
        </w:r>
        <w:r w:rsidRPr="004A7F0D">
          <w:rPr>
            <w:rStyle w:val="Hyperlink"/>
            <w:noProof/>
          </w:rPr>
          <w:t>Confirm the working assumption in the sub-bullet related to separate initial DL BWP from RAN1#106-bis-e that “It applies at least after initial access for FR1 when MIB configured CORESET#0 is included”.</w:t>
        </w:r>
      </w:hyperlink>
    </w:p>
    <w:p w14:paraId="5D19EB8C" w14:textId="15BFDD5A" w:rsidR="007A78E0" w:rsidRDefault="007A78E0">
      <w:pPr>
        <w:pStyle w:val="TableofFigures"/>
        <w:tabs>
          <w:tab w:val="right" w:leader="dot" w:pos="9629"/>
        </w:tabs>
        <w:rPr>
          <w:rFonts w:asciiTheme="minorHAnsi" w:eastAsiaTheme="minorEastAsia" w:hAnsiTheme="minorHAnsi"/>
          <w:b w:val="0"/>
          <w:noProof/>
          <w:sz w:val="22"/>
          <w:lang w:val="sv-SE" w:eastAsia="sv-SE"/>
        </w:rPr>
      </w:pPr>
      <w:hyperlink w:anchor="_Toc87060629" w:history="1">
        <w:r w:rsidRPr="004A7F0D">
          <w:rPr>
            <w:rStyle w:val="Hyperlink"/>
            <w:noProof/>
          </w:rPr>
          <w:t>Proposal 9</w:t>
        </w:r>
        <w:r>
          <w:rPr>
            <w:rFonts w:asciiTheme="minorHAnsi" w:eastAsiaTheme="minorEastAsia" w:hAnsiTheme="minorHAnsi"/>
            <w:b w:val="0"/>
            <w:noProof/>
            <w:sz w:val="22"/>
            <w:lang w:val="sv-SE" w:eastAsia="sv-SE"/>
          </w:rPr>
          <w:tab/>
        </w:r>
        <w:r w:rsidRPr="004A7F0D">
          <w:rPr>
            <w:rStyle w:val="Hyperlink"/>
            <w:noProof/>
          </w:rPr>
          <w:t>It is not necessary to always configure a separate SIB-configured initial DL BWP for RedCap if the initial DL BWP for non-RedCap UEs is wider than the maximum RedCap UE bandwidth.</w:t>
        </w:r>
      </w:hyperlink>
    </w:p>
    <w:p w14:paraId="466E4C33" w14:textId="77D14D1F" w:rsidR="007A78E0" w:rsidRDefault="007A78E0">
      <w:pPr>
        <w:pStyle w:val="TableofFigures"/>
        <w:tabs>
          <w:tab w:val="right" w:leader="dot" w:pos="9629"/>
        </w:tabs>
        <w:rPr>
          <w:rFonts w:asciiTheme="minorHAnsi" w:eastAsiaTheme="minorEastAsia" w:hAnsiTheme="minorHAnsi"/>
          <w:b w:val="0"/>
          <w:noProof/>
          <w:sz w:val="22"/>
          <w:lang w:val="sv-SE" w:eastAsia="sv-SE"/>
        </w:rPr>
      </w:pPr>
      <w:hyperlink w:anchor="_Toc87060630" w:history="1">
        <w:r w:rsidRPr="004A7F0D">
          <w:rPr>
            <w:rStyle w:val="Hyperlink"/>
            <w:noProof/>
          </w:rPr>
          <w:t>Proposal 10</w:t>
        </w:r>
        <w:r>
          <w:rPr>
            <w:rFonts w:asciiTheme="minorHAnsi" w:eastAsiaTheme="minorEastAsia" w:hAnsiTheme="minorHAnsi"/>
            <w:b w:val="0"/>
            <w:noProof/>
            <w:sz w:val="22"/>
            <w:lang w:val="sv-SE" w:eastAsia="sv-SE"/>
          </w:rPr>
          <w:tab/>
        </w:r>
        <w:r w:rsidRPr="004A7F0D">
          <w:rPr>
            <w:rStyle w:val="Hyperlink"/>
            <w:noProof/>
          </w:rPr>
          <w:t>The RedCap UE uses the separate SIB-configured initial DL BWP (if configured), otherwise, it continues using the MIB-configured CORESET #0.</w:t>
        </w:r>
      </w:hyperlink>
    </w:p>
    <w:p w14:paraId="106E216A" w14:textId="1A53D711" w:rsidR="007A78E0" w:rsidRDefault="007A78E0">
      <w:pPr>
        <w:pStyle w:val="TableofFigures"/>
        <w:tabs>
          <w:tab w:val="right" w:leader="dot" w:pos="9629"/>
        </w:tabs>
        <w:rPr>
          <w:rFonts w:asciiTheme="minorHAnsi" w:eastAsiaTheme="minorEastAsia" w:hAnsiTheme="minorHAnsi"/>
          <w:b w:val="0"/>
          <w:noProof/>
          <w:sz w:val="22"/>
          <w:lang w:val="sv-SE" w:eastAsia="sv-SE"/>
        </w:rPr>
      </w:pPr>
      <w:hyperlink w:anchor="_Toc87060631" w:history="1">
        <w:r w:rsidRPr="004A7F0D">
          <w:rPr>
            <w:rStyle w:val="Hyperlink"/>
            <w:noProof/>
          </w:rPr>
          <w:t>Proposal 11</w:t>
        </w:r>
        <w:r>
          <w:rPr>
            <w:rFonts w:asciiTheme="minorHAnsi" w:eastAsiaTheme="minorEastAsia" w:hAnsiTheme="minorHAnsi"/>
            <w:b w:val="0"/>
            <w:noProof/>
            <w:sz w:val="22"/>
            <w:lang w:val="sv-SE" w:eastAsia="sv-SE"/>
          </w:rPr>
          <w:tab/>
        </w:r>
        <w:r w:rsidRPr="004A7F0D">
          <w:rPr>
            <w:rStyle w:val="Hyperlink"/>
            <w:noProof/>
          </w:rPr>
          <w:t>Confirm the working assumptions (in the main bullet and sub-bullets)  from RAN1#106-bis-e related to separate SIB-configured initial DL BWP for RedCap that: “For a cell that allows a RedCap UE to access, network can configure a separate initial DL BWP for RedCap UEs in SIB”. This applies to both FR1 and FR2.</w:t>
        </w:r>
      </w:hyperlink>
    </w:p>
    <w:p w14:paraId="6C048DA9" w14:textId="30C04600" w:rsidR="007A78E0" w:rsidRDefault="007A78E0">
      <w:pPr>
        <w:pStyle w:val="TableofFigures"/>
        <w:tabs>
          <w:tab w:val="right" w:leader="dot" w:pos="9629"/>
        </w:tabs>
        <w:rPr>
          <w:rFonts w:asciiTheme="minorHAnsi" w:eastAsiaTheme="minorEastAsia" w:hAnsiTheme="minorHAnsi"/>
          <w:b w:val="0"/>
          <w:noProof/>
          <w:sz w:val="22"/>
          <w:lang w:val="sv-SE" w:eastAsia="sv-SE"/>
        </w:rPr>
      </w:pPr>
      <w:hyperlink w:anchor="_Toc87060632" w:history="1">
        <w:r w:rsidRPr="004A7F0D">
          <w:rPr>
            <w:rStyle w:val="Hyperlink"/>
            <w:noProof/>
          </w:rPr>
          <w:t>Proposal 12</w:t>
        </w:r>
        <w:r>
          <w:rPr>
            <w:rFonts w:asciiTheme="minorHAnsi" w:eastAsiaTheme="minorEastAsia" w:hAnsiTheme="minorHAnsi"/>
            <w:b w:val="0"/>
            <w:noProof/>
            <w:sz w:val="22"/>
            <w:lang w:val="sv-SE" w:eastAsia="sv-SE"/>
          </w:rPr>
          <w:tab/>
        </w:r>
        <w:r w:rsidRPr="004A7F0D">
          <w:rPr>
            <w:rStyle w:val="Hyperlink"/>
            <w:noProof/>
          </w:rPr>
          <w:t>A separate initial DL BWP for RedCap should contain configurations of CORESET/CSS at least for random access. This applies to both FR1 and FR2.</w:t>
        </w:r>
      </w:hyperlink>
    </w:p>
    <w:p w14:paraId="05BB8868" w14:textId="4A9081D7" w:rsidR="007A78E0" w:rsidRDefault="007A78E0">
      <w:pPr>
        <w:pStyle w:val="TableofFigures"/>
        <w:tabs>
          <w:tab w:val="right" w:leader="dot" w:pos="9629"/>
        </w:tabs>
        <w:rPr>
          <w:rFonts w:asciiTheme="minorHAnsi" w:eastAsiaTheme="minorEastAsia" w:hAnsiTheme="minorHAnsi"/>
          <w:b w:val="0"/>
          <w:noProof/>
          <w:sz w:val="22"/>
          <w:lang w:val="sv-SE" w:eastAsia="sv-SE"/>
        </w:rPr>
      </w:pPr>
      <w:hyperlink w:anchor="_Toc87060633" w:history="1">
        <w:r w:rsidRPr="004A7F0D">
          <w:rPr>
            <w:rStyle w:val="Hyperlink"/>
            <w:noProof/>
          </w:rPr>
          <w:t>Proposal 13</w:t>
        </w:r>
        <w:r>
          <w:rPr>
            <w:rFonts w:asciiTheme="minorHAnsi" w:eastAsiaTheme="minorEastAsia" w:hAnsiTheme="minorHAnsi"/>
            <w:b w:val="0"/>
            <w:noProof/>
            <w:sz w:val="22"/>
            <w:lang w:val="sv-SE" w:eastAsia="sv-SE"/>
          </w:rPr>
          <w:tab/>
        </w:r>
        <w:r w:rsidRPr="004A7F0D">
          <w:rPr>
            <w:rStyle w:val="Hyperlink"/>
            <w:noProof/>
          </w:rPr>
          <w:t>If a separate SIB-configured initial DL BWP for RedCap contains the entire MIB-configured CORESET #0, the RedCap UE shall use the bandwidth and location of the CORESET#0 in DL during initial access.</w:t>
        </w:r>
      </w:hyperlink>
    </w:p>
    <w:p w14:paraId="066CA293" w14:textId="23D9F652" w:rsidR="007A78E0" w:rsidRDefault="007A78E0">
      <w:pPr>
        <w:pStyle w:val="TableofFigures"/>
        <w:tabs>
          <w:tab w:val="right" w:leader="dot" w:pos="9629"/>
        </w:tabs>
        <w:rPr>
          <w:rFonts w:asciiTheme="minorHAnsi" w:eastAsiaTheme="minorEastAsia" w:hAnsiTheme="minorHAnsi"/>
          <w:b w:val="0"/>
          <w:noProof/>
          <w:sz w:val="22"/>
          <w:lang w:val="sv-SE" w:eastAsia="sv-SE"/>
        </w:rPr>
      </w:pPr>
      <w:hyperlink w:anchor="_Toc87060634" w:history="1">
        <w:r w:rsidRPr="004A7F0D">
          <w:rPr>
            <w:rStyle w:val="Hyperlink"/>
            <w:noProof/>
          </w:rPr>
          <w:t>Proposal 14</w:t>
        </w:r>
        <w:r>
          <w:rPr>
            <w:rFonts w:asciiTheme="minorHAnsi" w:eastAsiaTheme="minorEastAsia" w:hAnsiTheme="minorHAnsi"/>
            <w:b w:val="0"/>
            <w:noProof/>
            <w:sz w:val="22"/>
            <w:lang w:val="sv-SE" w:eastAsia="sv-SE"/>
          </w:rPr>
          <w:tab/>
        </w:r>
        <w:r w:rsidRPr="004A7F0D">
          <w:rPr>
            <w:rStyle w:val="Hyperlink"/>
            <w:noProof/>
          </w:rPr>
          <w:t>In TDD, the separate initial DL BWP for RedCap does not need to contain the entire CORESET #0.</w:t>
        </w:r>
      </w:hyperlink>
    </w:p>
    <w:p w14:paraId="10A59C00" w14:textId="48ABF57F" w:rsidR="007A78E0" w:rsidRDefault="007A78E0">
      <w:pPr>
        <w:pStyle w:val="TableofFigures"/>
        <w:tabs>
          <w:tab w:val="right" w:leader="dot" w:pos="9629"/>
        </w:tabs>
        <w:rPr>
          <w:rFonts w:asciiTheme="minorHAnsi" w:eastAsiaTheme="minorEastAsia" w:hAnsiTheme="minorHAnsi"/>
          <w:b w:val="0"/>
          <w:noProof/>
          <w:sz w:val="22"/>
          <w:lang w:val="sv-SE" w:eastAsia="sv-SE"/>
        </w:rPr>
      </w:pPr>
      <w:hyperlink w:anchor="_Toc87060635" w:history="1">
        <w:r w:rsidRPr="004A7F0D">
          <w:rPr>
            <w:rStyle w:val="Hyperlink"/>
            <w:noProof/>
          </w:rPr>
          <w:t>Proposal 15</w:t>
        </w:r>
        <w:r>
          <w:rPr>
            <w:rFonts w:asciiTheme="minorHAnsi" w:eastAsiaTheme="minorEastAsia" w:hAnsiTheme="minorHAnsi"/>
            <w:b w:val="0"/>
            <w:noProof/>
            <w:sz w:val="22"/>
            <w:lang w:val="sv-SE" w:eastAsia="sv-SE"/>
          </w:rPr>
          <w:tab/>
        </w:r>
        <w:r w:rsidRPr="004A7F0D">
          <w:rPr>
            <w:rStyle w:val="Hyperlink"/>
            <w:noProof/>
          </w:rPr>
          <w:t>For TDD, RAN 1 should down-select between the following cases for RedCap:</w:t>
        </w:r>
      </w:hyperlink>
    </w:p>
    <w:p w14:paraId="3C5E6120" w14:textId="008711AF" w:rsidR="007A78E0" w:rsidRDefault="007A78E0" w:rsidP="007A78E0">
      <w:pPr>
        <w:pStyle w:val="TableofFigures"/>
        <w:tabs>
          <w:tab w:val="right" w:leader="dot" w:pos="9629"/>
        </w:tabs>
        <w:ind w:left="2127" w:hanging="284"/>
        <w:rPr>
          <w:rFonts w:asciiTheme="minorHAnsi" w:eastAsiaTheme="minorEastAsia" w:hAnsiTheme="minorHAnsi"/>
          <w:b w:val="0"/>
          <w:noProof/>
          <w:sz w:val="22"/>
          <w:lang w:val="sv-SE" w:eastAsia="sv-SE"/>
        </w:rPr>
      </w:pPr>
      <w:hyperlink w:anchor="_Toc87060636" w:history="1">
        <w:r w:rsidRPr="004A7F0D">
          <w:rPr>
            <w:rStyle w:val="Hyperlink"/>
            <w:rFonts w:ascii="Symbol" w:hAnsi="Symbol"/>
            <w:noProof/>
          </w:rPr>
          <w:t></w:t>
        </w:r>
        <w:r>
          <w:rPr>
            <w:rFonts w:asciiTheme="minorHAnsi" w:eastAsiaTheme="minorEastAsia" w:hAnsiTheme="minorHAnsi"/>
            <w:b w:val="0"/>
            <w:noProof/>
            <w:sz w:val="22"/>
            <w:lang w:val="sv-SE" w:eastAsia="sv-SE"/>
          </w:rPr>
          <w:tab/>
        </w:r>
        <w:r w:rsidRPr="004A7F0D">
          <w:rPr>
            <w:rStyle w:val="Hyperlink"/>
            <w:noProof/>
          </w:rPr>
          <w:t>Case 1: The center frequencies for initial UL/DL BWPs can be different, but the initial DL BWP always contains the CORESET #0 and SSB.</w:t>
        </w:r>
      </w:hyperlink>
    </w:p>
    <w:p w14:paraId="0BC0DA27" w14:textId="101CB4D9" w:rsidR="007A78E0" w:rsidRDefault="007A78E0" w:rsidP="007A78E0">
      <w:pPr>
        <w:pStyle w:val="TableofFigures"/>
        <w:tabs>
          <w:tab w:val="right" w:leader="dot" w:pos="9629"/>
        </w:tabs>
        <w:ind w:left="2127" w:hanging="284"/>
        <w:rPr>
          <w:rFonts w:asciiTheme="minorHAnsi" w:eastAsiaTheme="minorEastAsia" w:hAnsiTheme="minorHAnsi"/>
          <w:b w:val="0"/>
          <w:noProof/>
          <w:sz w:val="22"/>
          <w:lang w:val="sv-SE" w:eastAsia="sv-SE"/>
        </w:rPr>
      </w:pPr>
      <w:hyperlink w:anchor="_Toc87060637" w:history="1">
        <w:r w:rsidRPr="004A7F0D">
          <w:rPr>
            <w:rStyle w:val="Hyperlink"/>
            <w:rFonts w:ascii="Symbol" w:hAnsi="Symbol"/>
            <w:noProof/>
          </w:rPr>
          <w:t></w:t>
        </w:r>
        <w:r>
          <w:rPr>
            <w:rFonts w:asciiTheme="minorHAnsi" w:eastAsiaTheme="minorEastAsia" w:hAnsiTheme="minorHAnsi"/>
            <w:b w:val="0"/>
            <w:noProof/>
            <w:sz w:val="22"/>
            <w:lang w:val="sv-SE" w:eastAsia="sv-SE"/>
          </w:rPr>
          <w:tab/>
        </w:r>
        <w:r w:rsidRPr="004A7F0D">
          <w:rPr>
            <w:rStyle w:val="Hyperlink"/>
            <w:noProof/>
          </w:rPr>
          <w:t>Case 2: The center frequencies for initial UL/DL BWPs are always the same, but the initial DL BWP does not necessarily contain CORESET #0.</w:t>
        </w:r>
      </w:hyperlink>
    </w:p>
    <w:p w14:paraId="007DAF43" w14:textId="54407480" w:rsidR="007A78E0" w:rsidRDefault="007A78E0">
      <w:pPr>
        <w:pStyle w:val="TableofFigures"/>
        <w:tabs>
          <w:tab w:val="right" w:leader="dot" w:pos="9629"/>
        </w:tabs>
        <w:rPr>
          <w:rFonts w:asciiTheme="minorHAnsi" w:eastAsiaTheme="minorEastAsia" w:hAnsiTheme="minorHAnsi"/>
          <w:b w:val="0"/>
          <w:noProof/>
          <w:sz w:val="22"/>
          <w:lang w:val="sv-SE" w:eastAsia="sv-SE"/>
        </w:rPr>
      </w:pPr>
      <w:hyperlink w:anchor="_Toc87060638" w:history="1">
        <w:r w:rsidRPr="004A7F0D">
          <w:rPr>
            <w:rStyle w:val="Hyperlink"/>
            <w:rFonts w:cs="Arial"/>
            <w:noProof/>
          </w:rPr>
          <w:t>Proposal 16</w:t>
        </w:r>
        <w:r>
          <w:rPr>
            <w:rFonts w:asciiTheme="minorHAnsi" w:eastAsiaTheme="minorEastAsia" w:hAnsiTheme="minorHAnsi"/>
            <w:b w:val="0"/>
            <w:noProof/>
            <w:sz w:val="22"/>
            <w:lang w:val="sv-SE" w:eastAsia="sv-SE"/>
          </w:rPr>
          <w:tab/>
        </w:r>
        <w:r w:rsidRPr="004A7F0D">
          <w:rPr>
            <w:rStyle w:val="Hyperlink"/>
            <w:noProof/>
          </w:rPr>
          <w:t>Option 1 and Option 2 correspond to scenarios where initial UL/DL BWPs have the same center frequency.</w:t>
        </w:r>
      </w:hyperlink>
    </w:p>
    <w:p w14:paraId="70B94D71" w14:textId="7FB8B0F0" w:rsidR="007A78E0" w:rsidRDefault="007A78E0">
      <w:pPr>
        <w:pStyle w:val="TableofFigures"/>
        <w:tabs>
          <w:tab w:val="right" w:leader="dot" w:pos="9629"/>
        </w:tabs>
        <w:rPr>
          <w:rFonts w:asciiTheme="minorHAnsi" w:eastAsiaTheme="minorEastAsia" w:hAnsiTheme="minorHAnsi"/>
          <w:b w:val="0"/>
          <w:noProof/>
          <w:sz w:val="22"/>
          <w:lang w:val="sv-SE" w:eastAsia="sv-SE"/>
        </w:rPr>
      </w:pPr>
      <w:hyperlink w:anchor="_Toc87060639" w:history="1">
        <w:r w:rsidRPr="004A7F0D">
          <w:rPr>
            <w:rStyle w:val="Hyperlink"/>
            <w:rFonts w:cs="Arial"/>
            <w:noProof/>
          </w:rPr>
          <w:t>Proposal 17</w:t>
        </w:r>
        <w:r>
          <w:rPr>
            <w:rFonts w:asciiTheme="minorHAnsi" w:eastAsiaTheme="minorEastAsia" w:hAnsiTheme="minorHAnsi"/>
            <w:b w:val="0"/>
            <w:noProof/>
            <w:sz w:val="22"/>
            <w:lang w:val="sv-SE" w:eastAsia="sv-SE"/>
          </w:rPr>
          <w:tab/>
        </w:r>
        <w:r w:rsidRPr="004A7F0D">
          <w:rPr>
            <w:rStyle w:val="Hyperlink"/>
            <w:rFonts w:cs="Arial"/>
            <w:noProof/>
          </w:rPr>
          <w:t>By supporting different center frequencies for initial UL/DL BWPs for RedCap in TDD, the initial DL BWP can always contain CD-</w:t>
        </w:r>
        <w:r w:rsidRPr="004A7F0D">
          <w:rPr>
            <w:rStyle w:val="Hyperlink"/>
            <w:rFonts w:asciiTheme="minorBidi" w:hAnsiTheme="minorBidi"/>
            <w:noProof/>
          </w:rPr>
          <w:t>SSB/CORESET#0/SIB (at least in FR1) thus discussions on SSB presence in the initial DL BWP as per Option 1 and Option 2 can be omitted.</w:t>
        </w:r>
      </w:hyperlink>
    </w:p>
    <w:p w14:paraId="0FDCD96C" w14:textId="30EC6B63" w:rsidR="007A78E0" w:rsidRDefault="007A78E0">
      <w:pPr>
        <w:pStyle w:val="TableofFigures"/>
        <w:tabs>
          <w:tab w:val="right" w:leader="dot" w:pos="9629"/>
        </w:tabs>
        <w:rPr>
          <w:rFonts w:asciiTheme="minorHAnsi" w:eastAsiaTheme="minorEastAsia" w:hAnsiTheme="minorHAnsi"/>
          <w:b w:val="0"/>
          <w:noProof/>
          <w:sz w:val="22"/>
          <w:lang w:val="sv-SE" w:eastAsia="sv-SE"/>
        </w:rPr>
      </w:pPr>
      <w:hyperlink w:anchor="_Toc87060640" w:history="1">
        <w:r w:rsidRPr="004A7F0D">
          <w:rPr>
            <w:rStyle w:val="Hyperlink"/>
            <w:noProof/>
          </w:rPr>
          <w:t>Proposal 18</w:t>
        </w:r>
        <w:r>
          <w:rPr>
            <w:rFonts w:asciiTheme="minorHAnsi" w:eastAsiaTheme="minorEastAsia" w:hAnsiTheme="minorHAnsi"/>
            <w:b w:val="0"/>
            <w:noProof/>
            <w:sz w:val="22"/>
            <w:lang w:val="sv-SE" w:eastAsia="sv-SE"/>
          </w:rPr>
          <w:tab/>
        </w:r>
        <w:r w:rsidRPr="004A7F0D">
          <w:rPr>
            <w:rStyle w:val="Hyperlink"/>
            <w:noProof/>
          </w:rPr>
          <w:t>If the separate initial DL BWP is configured for random access but not for paging, then the UE does not expect SSB transmission in the separate initial DL BWP. In this case, the network may or may not configure an SSB in the separate initial DL BWP for RedCap.</w:t>
        </w:r>
      </w:hyperlink>
    </w:p>
    <w:p w14:paraId="268DBC82" w14:textId="56F3679D" w:rsidR="007A78E0" w:rsidRDefault="007A78E0">
      <w:pPr>
        <w:pStyle w:val="TableofFigures"/>
        <w:tabs>
          <w:tab w:val="right" w:leader="dot" w:pos="9629"/>
        </w:tabs>
        <w:rPr>
          <w:rFonts w:asciiTheme="minorHAnsi" w:eastAsiaTheme="minorEastAsia" w:hAnsiTheme="minorHAnsi"/>
          <w:b w:val="0"/>
          <w:noProof/>
          <w:sz w:val="22"/>
          <w:lang w:val="sv-SE" w:eastAsia="sv-SE"/>
        </w:rPr>
      </w:pPr>
      <w:hyperlink w:anchor="_Toc87060641" w:history="1">
        <w:r w:rsidRPr="004A7F0D">
          <w:rPr>
            <w:rStyle w:val="Hyperlink"/>
            <w:noProof/>
          </w:rPr>
          <w:t>Proposal 19</w:t>
        </w:r>
        <w:r>
          <w:rPr>
            <w:rFonts w:asciiTheme="minorHAnsi" w:eastAsiaTheme="minorEastAsia" w:hAnsiTheme="minorHAnsi"/>
            <w:b w:val="0"/>
            <w:noProof/>
            <w:sz w:val="22"/>
            <w:lang w:val="sv-SE" w:eastAsia="sv-SE"/>
          </w:rPr>
          <w:tab/>
        </w:r>
        <w:r w:rsidRPr="004A7F0D">
          <w:rPr>
            <w:rStyle w:val="Hyperlink"/>
            <w:noProof/>
          </w:rPr>
          <w:t>For BWP#0 configuration option 1, if the separate initial DL BWP is configured for random access but not for paging, then the UE does not expect SSB transmission in the separate initial DL BWP in RRC idle/inactive/connected states.</w:t>
        </w:r>
      </w:hyperlink>
    </w:p>
    <w:p w14:paraId="26858A84" w14:textId="31A08175" w:rsidR="007A78E0" w:rsidRDefault="007A78E0">
      <w:pPr>
        <w:pStyle w:val="TableofFigures"/>
        <w:tabs>
          <w:tab w:val="right" w:leader="dot" w:pos="9629"/>
        </w:tabs>
        <w:rPr>
          <w:rFonts w:asciiTheme="minorHAnsi" w:eastAsiaTheme="minorEastAsia" w:hAnsiTheme="minorHAnsi"/>
          <w:b w:val="0"/>
          <w:noProof/>
          <w:sz w:val="22"/>
          <w:lang w:val="sv-SE" w:eastAsia="sv-SE"/>
        </w:rPr>
      </w:pPr>
      <w:hyperlink w:anchor="_Toc87060642" w:history="1">
        <w:r w:rsidRPr="004A7F0D">
          <w:rPr>
            <w:rStyle w:val="Hyperlink"/>
            <w:noProof/>
          </w:rPr>
          <w:t>Proposal 20</w:t>
        </w:r>
        <w:r>
          <w:rPr>
            <w:rFonts w:asciiTheme="minorHAnsi" w:eastAsiaTheme="minorEastAsia" w:hAnsiTheme="minorHAnsi"/>
            <w:b w:val="0"/>
            <w:noProof/>
            <w:sz w:val="22"/>
            <w:lang w:val="sv-SE" w:eastAsia="sv-SE"/>
          </w:rPr>
          <w:tab/>
        </w:r>
        <w:r w:rsidRPr="004A7F0D">
          <w:rPr>
            <w:rStyle w:val="Hyperlink"/>
            <w:noProof/>
          </w:rPr>
          <w:t>Whether the network configures an additional SSB to be transmitted in the separate initial DL BWP for RedCap should be based on the SSB monitoring periodicity (i.e., SMTC configuration) and the DRX cycle.</w:t>
        </w:r>
      </w:hyperlink>
    </w:p>
    <w:p w14:paraId="6C1FA1C6" w14:textId="2C792A13" w:rsidR="007A78E0" w:rsidRDefault="007A78E0">
      <w:pPr>
        <w:pStyle w:val="TableofFigures"/>
        <w:tabs>
          <w:tab w:val="right" w:leader="dot" w:pos="9629"/>
        </w:tabs>
        <w:rPr>
          <w:rFonts w:asciiTheme="minorHAnsi" w:eastAsiaTheme="minorEastAsia" w:hAnsiTheme="minorHAnsi"/>
          <w:b w:val="0"/>
          <w:noProof/>
          <w:sz w:val="22"/>
          <w:lang w:val="sv-SE" w:eastAsia="sv-SE"/>
        </w:rPr>
      </w:pPr>
      <w:hyperlink w:anchor="_Toc87060643" w:history="1">
        <w:r w:rsidRPr="004A7F0D">
          <w:rPr>
            <w:rStyle w:val="Hyperlink"/>
            <w:noProof/>
            <w:lang w:val="en-GB"/>
          </w:rPr>
          <w:t>Proposal 21</w:t>
        </w:r>
        <w:r>
          <w:rPr>
            <w:rFonts w:asciiTheme="minorHAnsi" w:eastAsiaTheme="minorEastAsia" w:hAnsiTheme="minorHAnsi"/>
            <w:b w:val="0"/>
            <w:noProof/>
            <w:sz w:val="22"/>
            <w:lang w:val="sv-SE" w:eastAsia="sv-SE"/>
          </w:rPr>
          <w:tab/>
        </w:r>
        <w:r w:rsidRPr="004A7F0D">
          <w:rPr>
            <w:rStyle w:val="Hyperlink"/>
            <w:noProof/>
            <w:lang w:val="en-GB"/>
          </w:rPr>
          <w:t>In TDD, whether an additional SSB is transmitted in a separate initial DL BWP for RedCap, is based on the following conditions:</w:t>
        </w:r>
      </w:hyperlink>
    </w:p>
    <w:p w14:paraId="148E0F23" w14:textId="768D0FCD" w:rsidR="007A78E0" w:rsidRDefault="007A78E0" w:rsidP="007A78E0">
      <w:pPr>
        <w:pStyle w:val="TableofFigures"/>
        <w:tabs>
          <w:tab w:val="right" w:leader="dot" w:pos="9629"/>
        </w:tabs>
        <w:ind w:left="2127" w:hanging="284"/>
        <w:rPr>
          <w:rFonts w:asciiTheme="minorHAnsi" w:eastAsiaTheme="minorEastAsia" w:hAnsiTheme="minorHAnsi"/>
          <w:b w:val="0"/>
          <w:noProof/>
          <w:sz w:val="22"/>
          <w:lang w:val="sv-SE" w:eastAsia="sv-SE"/>
        </w:rPr>
      </w:pPr>
      <w:hyperlink w:anchor="_Toc87060644" w:history="1">
        <w:r w:rsidRPr="004A7F0D">
          <w:rPr>
            <w:rStyle w:val="Hyperlink"/>
            <w:rFonts w:ascii="Symbol" w:hAnsi="Symbol"/>
            <w:noProof/>
            <w:lang w:val="en-GB"/>
          </w:rPr>
          <w:t></w:t>
        </w:r>
        <w:r>
          <w:rPr>
            <w:rFonts w:asciiTheme="minorHAnsi" w:eastAsiaTheme="minorEastAsia" w:hAnsiTheme="minorHAnsi"/>
            <w:b w:val="0"/>
            <w:noProof/>
            <w:sz w:val="22"/>
            <w:lang w:val="sv-SE" w:eastAsia="sv-SE"/>
          </w:rPr>
          <w:tab/>
        </w:r>
        <w:r w:rsidRPr="004A7F0D">
          <w:rPr>
            <w:rStyle w:val="Hyperlink"/>
            <w:noProof/>
            <w:lang w:val="en-GB"/>
          </w:rPr>
          <w:t xml:space="preserve">Additional SSBs may or may not be transmitted if DRX cycle </w:t>
        </w:r>
        <w:r w:rsidRPr="004A7F0D">
          <w:rPr>
            <w:rStyle w:val="Hyperlink"/>
            <w:rFonts w:cs="Arial"/>
            <w:noProof/>
            <w:lang w:val="en-GB"/>
          </w:rPr>
          <w:t>≥</w:t>
        </w:r>
        <w:r w:rsidRPr="004A7F0D">
          <w:rPr>
            <w:rStyle w:val="Hyperlink"/>
            <w:noProof/>
            <w:lang w:val="en-GB"/>
          </w:rPr>
          <w:t xml:space="preserve"> T1 (e.g., 1280 ms)</w:t>
        </w:r>
      </w:hyperlink>
    </w:p>
    <w:p w14:paraId="28E75BE7" w14:textId="5E3B3F7A" w:rsidR="007A78E0" w:rsidRDefault="007A78E0" w:rsidP="007A78E0">
      <w:pPr>
        <w:pStyle w:val="TableofFigures"/>
        <w:tabs>
          <w:tab w:val="right" w:leader="dot" w:pos="9629"/>
        </w:tabs>
        <w:ind w:left="2127" w:hanging="284"/>
        <w:rPr>
          <w:rFonts w:asciiTheme="minorHAnsi" w:eastAsiaTheme="minorEastAsia" w:hAnsiTheme="minorHAnsi"/>
          <w:b w:val="0"/>
          <w:noProof/>
          <w:sz w:val="22"/>
          <w:lang w:val="sv-SE" w:eastAsia="sv-SE"/>
        </w:rPr>
      </w:pPr>
      <w:hyperlink w:anchor="_Toc87060645" w:history="1">
        <w:r w:rsidRPr="004A7F0D">
          <w:rPr>
            <w:rStyle w:val="Hyperlink"/>
            <w:rFonts w:ascii="Symbol" w:hAnsi="Symbol"/>
            <w:noProof/>
            <w:lang w:val="en-GB"/>
          </w:rPr>
          <w:t></w:t>
        </w:r>
        <w:r>
          <w:rPr>
            <w:rFonts w:asciiTheme="minorHAnsi" w:eastAsiaTheme="minorEastAsia" w:hAnsiTheme="minorHAnsi"/>
            <w:b w:val="0"/>
            <w:noProof/>
            <w:sz w:val="22"/>
            <w:lang w:val="sv-SE" w:eastAsia="sv-SE"/>
          </w:rPr>
          <w:tab/>
        </w:r>
        <w:r w:rsidRPr="004A7F0D">
          <w:rPr>
            <w:rStyle w:val="Hyperlink"/>
            <w:noProof/>
            <w:lang w:val="en-GB"/>
          </w:rPr>
          <w:t xml:space="preserve">Additional SSBs may or may not be transmitted if SMTC periodicity </w:t>
        </w:r>
        <w:r w:rsidRPr="004A7F0D">
          <w:rPr>
            <w:rStyle w:val="Hyperlink"/>
            <w:rFonts w:cs="Arial"/>
            <w:noProof/>
            <w:lang w:val="en-GB"/>
          </w:rPr>
          <w:t>≤</w:t>
        </w:r>
        <w:r w:rsidRPr="004A7F0D">
          <w:rPr>
            <w:rStyle w:val="Hyperlink"/>
            <w:noProof/>
            <w:lang w:val="en-GB"/>
          </w:rPr>
          <w:t xml:space="preserve"> T2 (e.g., 20 ms)</w:t>
        </w:r>
      </w:hyperlink>
    </w:p>
    <w:p w14:paraId="4EBD6A82" w14:textId="514492BF" w:rsidR="007A78E0" w:rsidRDefault="007A78E0" w:rsidP="007A78E0">
      <w:pPr>
        <w:pStyle w:val="TableofFigures"/>
        <w:tabs>
          <w:tab w:val="right" w:leader="dot" w:pos="9629"/>
        </w:tabs>
        <w:ind w:left="2127" w:hanging="284"/>
        <w:rPr>
          <w:rFonts w:asciiTheme="minorHAnsi" w:eastAsiaTheme="minorEastAsia" w:hAnsiTheme="minorHAnsi"/>
          <w:b w:val="0"/>
          <w:noProof/>
          <w:sz w:val="22"/>
          <w:lang w:val="sv-SE" w:eastAsia="sv-SE"/>
        </w:rPr>
      </w:pPr>
      <w:hyperlink w:anchor="_Toc87060646" w:history="1">
        <w:r w:rsidRPr="004A7F0D">
          <w:rPr>
            <w:rStyle w:val="Hyperlink"/>
            <w:rFonts w:ascii="Symbol" w:hAnsi="Symbol"/>
            <w:noProof/>
            <w:lang w:val="en-GB"/>
          </w:rPr>
          <w:t></w:t>
        </w:r>
        <w:r>
          <w:rPr>
            <w:rFonts w:asciiTheme="minorHAnsi" w:eastAsiaTheme="minorEastAsia" w:hAnsiTheme="minorHAnsi"/>
            <w:b w:val="0"/>
            <w:noProof/>
            <w:sz w:val="22"/>
            <w:lang w:val="sv-SE" w:eastAsia="sv-SE"/>
          </w:rPr>
          <w:tab/>
        </w:r>
        <w:r w:rsidRPr="004A7F0D">
          <w:rPr>
            <w:rStyle w:val="Hyperlink"/>
            <w:noProof/>
            <w:lang w:val="en-GB"/>
          </w:rPr>
          <w:t xml:space="preserve">Additional SSBs may or may not be transmitted if SMTC periodicity </w:t>
        </w:r>
        <w:r w:rsidRPr="004A7F0D">
          <w:rPr>
            <w:rStyle w:val="Hyperlink"/>
            <w:rFonts w:cs="Arial"/>
            <w:noProof/>
            <w:lang w:val="en-GB"/>
          </w:rPr>
          <w:t>≤</w:t>
        </w:r>
        <w:r w:rsidRPr="004A7F0D">
          <w:rPr>
            <w:rStyle w:val="Hyperlink"/>
            <w:noProof/>
            <w:lang w:val="en-GB"/>
          </w:rPr>
          <w:t xml:space="preserve"> T3 and DRX cycle </w:t>
        </w:r>
        <w:r w:rsidRPr="004A7F0D">
          <w:rPr>
            <w:rStyle w:val="Hyperlink"/>
            <w:rFonts w:cs="Arial"/>
            <w:noProof/>
            <w:lang w:val="en-GB"/>
          </w:rPr>
          <w:t>≥</w:t>
        </w:r>
        <w:r w:rsidRPr="004A7F0D">
          <w:rPr>
            <w:rStyle w:val="Hyperlink"/>
            <w:noProof/>
            <w:lang w:val="en-GB"/>
          </w:rPr>
          <w:t xml:space="preserve"> T4 (e.g., T3 = 40 ms, T4= 640 ms)</w:t>
        </w:r>
      </w:hyperlink>
    </w:p>
    <w:p w14:paraId="53ABE2E7" w14:textId="7BF9CE0B" w:rsidR="007A78E0" w:rsidRDefault="007A78E0" w:rsidP="007A78E0">
      <w:pPr>
        <w:pStyle w:val="TableofFigures"/>
        <w:tabs>
          <w:tab w:val="right" w:leader="dot" w:pos="9629"/>
        </w:tabs>
        <w:ind w:left="2127" w:hanging="284"/>
        <w:rPr>
          <w:rFonts w:asciiTheme="minorHAnsi" w:eastAsiaTheme="minorEastAsia" w:hAnsiTheme="minorHAnsi"/>
          <w:b w:val="0"/>
          <w:noProof/>
          <w:sz w:val="22"/>
          <w:lang w:val="sv-SE" w:eastAsia="sv-SE"/>
        </w:rPr>
      </w:pPr>
      <w:hyperlink w:anchor="_Toc87060647" w:history="1">
        <w:r w:rsidRPr="004A7F0D">
          <w:rPr>
            <w:rStyle w:val="Hyperlink"/>
            <w:rFonts w:ascii="Symbol" w:hAnsi="Symbol"/>
            <w:noProof/>
            <w:lang w:val="en-GB"/>
          </w:rPr>
          <w:t></w:t>
        </w:r>
        <w:r>
          <w:rPr>
            <w:rFonts w:asciiTheme="minorHAnsi" w:eastAsiaTheme="minorEastAsia" w:hAnsiTheme="minorHAnsi"/>
            <w:b w:val="0"/>
            <w:noProof/>
            <w:sz w:val="22"/>
            <w:lang w:val="sv-SE" w:eastAsia="sv-SE"/>
          </w:rPr>
          <w:tab/>
        </w:r>
        <w:r w:rsidRPr="004A7F0D">
          <w:rPr>
            <w:rStyle w:val="Hyperlink"/>
            <w:noProof/>
            <w:lang w:val="en-GB"/>
          </w:rPr>
          <w:t>Otherwise, additional SSBs are transmitted.</w:t>
        </w:r>
      </w:hyperlink>
    </w:p>
    <w:p w14:paraId="042CA46B" w14:textId="116BEBE7" w:rsidR="007A78E0" w:rsidRDefault="007A78E0">
      <w:pPr>
        <w:pStyle w:val="TableofFigures"/>
        <w:tabs>
          <w:tab w:val="right" w:leader="dot" w:pos="9629"/>
        </w:tabs>
        <w:rPr>
          <w:rFonts w:asciiTheme="minorHAnsi" w:eastAsiaTheme="minorEastAsia" w:hAnsiTheme="minorHAnsi"/>
          <w:b w:val="0"/>
          <w:noProof/>
          <w:sz w:val="22"/>
          <w:lang w:val="sv-SE" w:eastAsia="sv-SE"/>
        </w:rPr>
      </w:pPr>
      <w:hyperlink w:anchor="_Toc87060648" w:history="1">
        <w:r w:rsidRPr="004A7F0D">
          <w:rPr>
            <w:rStyle w:val="Hyperlink"/>
            <w:noProof/>
          </w:rPr>
          <w:t>Proposal 22</w:t>
        </w:r>
        <w:r>
          <w:rPr>
            <w:rFonts w:asciiTheme="minorHAnsi" w:eastAsiaTheme="minorEastAsia" w:hAnsiTheme="minorHAnsi"/>
            <w:b w:val="0"/>
            <w:noProof/>
            <w:sz w:val="22"/>
            <w:lang w:val="sv-SE" w:eastAsia="sv-SE"/>
          </w:rPr>
          <w:tab/>
        </w:r>
        <w:r w:rsidRPr="004A7F0D">
          <w:rPr>
            <w:rStyle w:val="Hyperlink"/>
            <w:noProof/>
          </w:rPr>
          <w:t>For an RRC-configured active DL BWP in connected mode, RedCap UE expects it to contain an NCD-SSB (upon RAN2/4 approval) for serving cell but not CORESET#0/SIB.</w:t>
        </w:r>
      </w:hyperlink>
    </w:p>
    <w:p w14:paraId="3FAC50F2" w14:textId="30CF0164" w:rsidR="007A78E0" w:rsidRDefault="007A78E0">
      <w:pPr>
        <w:pStyle w:val="TableofFigures"/>
        <w:tabs>
          <w:tab w:val="right" w:leader="dot" w:pos="9629"/>
        </w:tabs>
        <w:rPr>
          <w:rFonts w:asciiTheme="minorHAnsi" w:eastAsiaTheme="minorEastAsia" w:hAnsiTheme="minorHAnsi"/>
          <w:b w:val="0"/>
          <w:noProof/>
          <w:sz w:val="22"/>
          <w:lang w:val="sv-SE" w:eastAsia="sv-SE"/>
        </w:rPr>
      </w:pPr>
      <w:hyperlink w:anchor="_Toc87060649" w:history="1">
        <w:r w:rsidRPr="004A7F0D">
          <w:rPr>
            <w:rStyle w:val="Hyperlink"/>
            <w:noProof/>
            <w:lang w:val="en-GB"/>
          </w:rPr>
          <w:t>Proposal 23</w:t>
        </w:r>
        <w:r>
          <w:rPr>
            <w:rFonts w:asciiTheme="minorHAnsi" w:eastAsiaTheme="minorEastAsia" w:hAnsiTheme="minorHAnsi"/>
            <w:b w:val="0"/>
            <w:noProof/>
            <w:sz w:val="22"/>
            <w:lang w:val="sv-SE" w:eastAsia="sv-SE"/>
          </w:rPr>
          <w:tab/>
        </w:r>
        <w:r w:rsidRPr="004A7F0D">
          <w:rPr>
            <w:rStyle w:val="Hyperlink"/>
            <w:noProof/>
            <w:lang w:val="en-GB"/>
          </w:rPr>
          <w:t>Regarding SSB transmissions in a RedCap DL BWP in TDD for FR1:</w:t>
        </w:r>
      </w:hyperlink>
    </w:p>
    <w:p w14:paraId="50AA36F8" w14:textId="7875AA1B" w:rsidR="007A78E0" w:rsidRDefault="007A78E0" w:rsidP="007A78E0">
      <w:pPr>
        <w:pStyle w:val="TableofFigures"/>
        <w:tabs>
          <w:tab w:val="right" w:leader="dot" w:pos="9629"/>
        </w:tabs>
        <w:ind w:left="2127" w:hanging="284"/>
        <w:rPr>
          <w:rFonts w:asciiTheme="minorHAnsi" w:eastAsiaTheme="minorEastAsia" w:hAnsiTheme="minorHAnsi"/>
          <w:b w:val="0"/>
          <w:noProof/>
          <w:sz w:val="22"/>
          <w:lang w:val="sv-SE" w:eastAsia="sv-SE"/>
        </w:rPr>
      </w:pPr>
      <w:hyperlink w:anchor="_Toc87060650" w:history="1">
        <w:r w:rsidRPr="004A7F0D">
          <w:rPr>
            <w:rStyle w:val="Hyperlink"/>
            <w:rFonts w:ascii="Symbol" w:hAnsi="Symbol"/>
            <w:noProof/>
            <w:lang w:val="en-GB"/>
          </w:rPr>
          <w:t></w:t>
        </w:r>
        <w:r>
          <w:rPr>
            <w:rFonts w:asciiTheme="minorHAnsi" w:eastAsiaTheme="minorEastAsia" w:hAnsiTheme="minorHAnsi"/>
            <w:b w:val="0"/>
            <w:noProof/>
            <w:sz w:val="22"/>
            <w:lang w:val="sv-SE" w:eastAsia="sv-SE"/>
          </w:rPr>
          <w:tab/>
        </w:r>
        <w:r w:rsidRPr="004A7F0D">
          <w:rPr>
            <w:rStyle w:val="Hyperlink"/>
            <w:noProof/>
            <w:lang w:val="en-GB"/>
          </w:rPr>
          <w:t>For a separate initial DL BWP (if it does not include CD-SSB and the entire CORESET#0):</w:t>
        </w:r>
      </w:hyperlink>
    </w:p>
    <w:p w14:paraId="2D0BA6E1" w14:textId="3D8CC1A3" w:rsidR="007A78E0" w:rsidRDefault="007A78E0" w:rsidP="007A78E0">
      <w:pPr>
        <w:pStyle w:val="TableofFigures"/>
        <w:tabs>
          <w:tab w:val="right" w:leader="dot" w:pos="9629"/>
        </w:tabs>
        <w:ind w:left="2552" w:hanging="284"/>
        <w:rPr>
          <w:rFonts w:asciiTheme="minorHAnsi" w:eastAsiaTheme="minorEastAsia" w:hAnsiTheme="minorHAnsi"/>
          <w:b w:val="0"/>
          <w:noProof/>
          <w:sz w:val="22"/>
          <w:lang w:val="sv-SE" w:eastAsia="sv-SE"/>
        </w:rPr>
      </w:pPr>
      <w:hyperlink w:anchor="_Toc87060651" w:history="1">
        <w:r w:rsidRPr="004A7F0D">
          <w:rPr>
            <w:rStyle w:val="Hyperlink"/>
            <w:rFonts w:ascii="Courier New" w:hAnsi="Courier New" w:cs="Courier New"/>
            <w:noProof/>
            <w:lang w:val="en-GB"/>
          </w:rPr>
          <w:t>o</w:t>
        </w:r>
        <w:r>
          <w:rPr>
            <w:rFonts w:asciiTheme="minorHAnsi" w:eastAsiaTheme="minorEastAsia" w:hAnsiTheme="minorHAnsi"/>
            <w:b w:val="0"/>
            <w:noProof/>
            <w:sz w:val="22"/>
            <w:lang w:val="sv-SE" w:eastAsia="sv-SE"/>
          </w:rPr>
          <w:tab/>
        </w:r>
        <w:r w:rsidRPr="004A7F0D">
          <w:rPr>
            <w:rStyle w:val="Hyperlink"/>
            <w:noProof/>
            <w:lang w:val="en-GB"/>
          </w:rPr>
          <w:t>If it is configured for random access while not for paging in idle/inactive mode, RedCap UE does NOT expect it to contain SSB/CORESET#0/SIB.</w:t>
        </w:r>
      </w:hyperlink>
    </w:p>
    <w:p w14:paraId="330DD6F6" w14:textId="39AC06B8" w:rsidR="007A78E0" w:rsidRDefault="007A78E0" w:rsidP="007A78E0">
      <w:pPr>
        <w:pStyle w:val="TableofFigures"/>
        <w:tabs>
          <w:tab w:val="right" w:leader="dot" w:pos="9629"/>
        </w:tabs>
        <w:ind w:left="2552" w:hanging="284"/>
        <w:rPr>
          <w:rFonts w:asciiTheme="minorHAnsi" w:eastAsiaTheme="minorEastAsia" w:hAnsiTheme="minorHAnsi"/>
          <w:b w:val="0"/>
          <w:noProof/>
          <w:sz w:val="22"/>
          <w:lang w:val="sv-SE" w:eastAsia="sv-SE"/>
        </w:rPr>
      </w:pPr>
      <w:hyperlink w:anchor="_Toc87060652" w:history="1">
        <w:r w:rsidRPr="004A7F0D">
          <w:rPr>
            <w:rStyle w:val="Hyperlink"/>
            <w:rFonts w:ascii="Courier New" w:hAnsi="Courier New" w:cs="Courier New"/>
            <w:noProof/>
            <w:lang w:val="en-GB"/>
          </w:rPr>
          <w:t>o</w:t>
        </w:r>
        <w:r>
          <w:rPr>
            <w:rFonts w:asciiTheme="minorHAnsi" w:eastAsiaTheme="minorEastAsia" w:hAnsiTheme="minorHAnsi"/>
            <w:b w:val="0"/>
            <w:noProof/>
            <w:sz w:val="22"/>
            <w:lang w:val="sv-SE" w:eastAsia="sv-SE"/>
          </w:rPr>
          <w:tab/>
        </w:r>
        <w:r w:rsidRPr="004A7F0D">
          <w:rPr>
            <w:rStyle w:val="Hyperlink"/>
            <w:noProof/>
            <w:lang w:val="en-GB"/>
          </w:rPr>
          <w:t>If it is configured for paging, RedCap UE expects it to contain NCD-SSB for serving cell but not CORESET#0/SIB.</w:t>
        </w:r>
      </w:hyperlink>
    </w:p>
    <w:p w14:paraId="34FC7150" w14:textId="3C685138" w:rsidR="007A78E0" w:rsidRDefault="007A78E0" w:rsidP="007A78E0">
      <w:pPr>
        <w:pStyle w:val="TableofFigures"/>
        <w:tabs>
          <w:tab w:val="right" w:leader="dot" w:pos="9629"/>
        </w:tabs>
        <w:ind w:left="2127" w:hanging="284"/>
        <w:rPr>
          <w:rFonts w:asciiTheme="minorHAnsi" w:eastAsiaTheme="minorEastAsia" w:hAnsiTheme="minorHAnsi"/>
          <w:b w:val="0"/>
          <w:noProof/>
          <w:sz w:val="22"/>
          <w:lang w:val="sv-SE" w:eastAsia="sv-SE"/>
        </w:rPr>
      </w:pPr>
      <w:hyperlink w:anchor="_Toc87060653" w:history="1">
        <w:r w:rsidRPr="004A7F0D">
          <w:rPr>
            <w:rStyle w:val="Hyperlink"/>
            <w:rFonts w:ascii="Symbol" w:hAnsi="Symbol"/>
            <w:noProof/>
            <w:lang w:val="en-GB"/>
          </w:rPr>
          <w:t></w:t>
        </w:r>
        <w:r>
          <w:rPr>
            <w:rFonts w:asciiTheme="minorHAnsi" w:eastAsiaTheme="minorEastAsia" w:hAnsiTheme="minorHAnsi"/>
            <w:b w:val="0"/>
            <w:noProof/>
            <w:sz w:val="22"/>
            <w:lang w:val="sv-SE" w:eastAsia="sv-SE"/>
          </w:rPr>
          <w:tab/>
        </w:r>
        <w:r w:rsidRPr="004A7F0D">
          <w:rPr>
            <w:rStyle w:val="Hyperlink"/>
            <w:noProof/>
            <w:lang w:val="en-GB"/>
          </w:rPr>
          <w:t>For an RRC-configured active DL BWP in connected mode (if it does not include CD-SSB and the entire CORESET#0):</w:t>
        </w:r>
      </w:hyperlink>
    </w:p>
    <w:p w14:paraId="5393CAA6" w14:textId="79B11BDF" w:rsidR="007A78E0" w:rsidRDefault="007A78E0" w:rsidP="007A78E0">
      <w:pPr>
        <w:pStyle w:val="TableofFigures"/>
        <w:tabs>
          <w:tab w:val="right" w:leader="dot" w:pos="9629"/>
        </w:tabs>
        <w:ind w:left="2552" w:hanging="284"/>
        <w:rPr>
          <w:rFonts w:asciiTheme="minorHAnsi" w:eastAsiaTheme="minorEastAsia" w:hAnsiTheme="minorHAnsi"/>
          <w:b w:val="0"/>
          <w:noProof/>
          <w:sz w:val="22"/>
          <w:lang w:val="sv-SE" w:eastAsia="sv-SE"/>
        </w:rPr>
      </w:pPr>
      <w:hyperlink w:anchor="_Toc87060654" w:history="1">
        <w:r w:rsidRPr="004A7F0D">
          <w:rPr>
            <w:rStyle w:val="Hyperlink"/>
            <w:rFonts w:ascii="Courier New" w:hAnsi="Courier New" w:cs="Courier New"/>
            <w:noProof/>
            <w:lang w:val="en-GB"/>
          </w:rPr>
          <w:t>o</w:t>
        </w:r>
        <w:r>
          <w:rPr>
            <w:rFonts w:asciiTheme="minorHAnsi" w:eastAsiaTheme="minorEastAsia" w:hAnsiTheme="minorHAnsi"/>
            <w:b w:val="0"/>
            <w:noProof/>
            <w:sz w:val="22"/>
            <w:lang w:val="sv-SE" w:eastAsia="sv-SE"/>
          </w:rPr>
          <w:tab/>
        </w:r>
        <w:r w:rsidRPr="004A7F0D">
          <w:rPr>
            <w:rStyle w:val="Hyperlink"/>
            <w:noProof/>
            <w:lang w:val="en-GB"/>
          </w:rPr>
          <w:t>RedCap UE expects it to contain NCD-SSB for serving cell but not CORESET#0/SIB.</w:t>
        </w:r>
      </w:hyperlink>
    </w:p>
    <w:p w14:paraId="67D2322C" w14:textId="515DFB51" w:rsidR="007A78E0" w:rsidRDefault="007A78E0" w:rsidP="007A78E0">
      <w:pPr>
        <w:pStyle w:val="TableofFigures"/>
        <w:tabs>
          <w:tab w:val="right" w:leader="dot" w:pos="9629"/>
        </w:tabs>
        <w:ind w:left="2127" w:hanging="284"/>
        <w:rPr>
          <w:rFonts w:asciiTheme="minorHAnsi" w:eastAsiaTheme="minorEastAsia" w:hAnsiTheme="minorHAnsi"/>
          <w:b w:val="0"/>
          <w:noProof/>
          <w:sz w:val="22"/>
          <w:lang w:val="sv-SE" w:eastAsia="sv-SE"/>
        </w:rPr>
      </w:pPr>
      <w:hyperlink w:anchor="_Toc87060655" w:history="1">
        <w:r w:rsidRPr="004A7F0D">
          <w:rPr>
            <w:rStyle w:val="Hyperlink"/>
            <w:rFonts w:ascii="Symbol" w:hAnsi="Symbol"/>
            <w:noProof/>
            <w:lang w:val="en-GB"/>
          </w:rPr>
          <w:t></w:t>
        </w:r>
        <w:r>
          <w:rPr>
            <w:rFonts w:asciiTheme="minorHAnsi" w:eastAsiaTheme="minorEastAsia" w:hAnsiTheme="minorHAnsi"/>
            <w:b w:val="0"/>
            <w:noProof/>
            <w:sz w:val="22"/>
            <w:lang w:val="sv-SE" w:eastAsia="sv-SE"/>
          </w:rPr>
          <w:tab/>
        </w:r>
        <w:r w:rsidRPr="004A7F0D">
          <w:rPr>
            <w:rStyle w:val="Hyperlink"/>
            <w:noProof/>
            <w:lang w:val="en-GB"/>
          </w:rPr>
          <w:t>In TDD, whether an additional SSB is transmitted in a separate initial DL BWP for RedCap is based on SSB monitoring periodicity (i.e., SMTC configuration) and DRX cycle.</w:t>
        </w:r>
      </w:hyperlink>
    </w:p>
    <w:p w14:paraId="05DBA318" w14:textId="313CB09C" w:rsidR="007A78E0" w:rsidRDefault="007A78E0">
      <w:pPr>
        <w:pStyle w:val="TableofFigures"/>
        <w:tabs>
          <w:tab w:val="right" w:leader="dot" w:pos="9629"/>
        </w:tabs>
        <w:rPr>
          <w:rFonts w:asciiTheme="minorHAnsi" w:eastAsiaTheme="minorEastAsia" w:hAnsiTheme="minorHAnsi"/>
          <w:b w:val="0"/>
          <w:noProof/>
          <w:sz w:val="22"/>
          <w:lang w:val="sv-SE" w:eastAsia="sv-SE"/>
        </w:rPr>
      </w:pPr>
      <w:hyperlink w:anchor="_Toc87060656" w:history="1">
        <w:r w:rsidRPr="004A7F0D">
          <w:rPr>
            <w:rStyle w:val="Hyperlink"/>
            <w:noProof/>
            <w:lang w:val="en-GB"/>
          </w:rPr>
          <w:t>Proposal 24</w:t>
        </w:r>
        <w:r>
          <w:rPr>
            <w:rFonts w:asciiTheme="minorHAnsi" w:eastAsiaTheme="minorEastAsia" w:hAnsiTheme="minorHAnsi"/>
            <w:b w:val="0"/>
            <w:noProof/>
            <w:sz w:val="22"/>
            <w:lang w:val="sv-SE" w:eastAsia="sv-SE"/>
          </w:rPr>
          <w:tab/>
        </w:r>
        <w:r w:rsidRPr="004A7F0D">
          <w:rPr>
            <w:rStyle w:val="Hyperlink"/>
            <w:noProof/>
            <w:lang w:val="en-GB" w:eastAsia="ja-JP"/>
          </w:rPr>
          <w:t>Depending on RAN2/4 feedback on the feasibility of using NCD SSB, consider the following fall-back options regarding the presence of SSBs in RedCap DL BWPs:</w:t>
        </w:r>
      </w:hyperlink>
    </w:p>
    <w:p w14:paraId="560C92C7" w14:textId="1F420C57" w:rsidR="007A78E0" w:rsidRDefault="007A78E0" w:rsidP="007A78E0">
      <w:pPr>
        <w:pStyle w:val="TableofFigures"/>
        <w:tabs>
          <w:tab w:val="right" w:leader="dot" w:pos="9629"/>
        </w:tabs>
        <w:ind w:left="2127" w:hanging="284"/>
        <w:rPr>
          <w:rFonts w:asciiTheme="minorHAnsi" w:eastAsiaTheme="minorEastAsia" w:hAnsiTheme="minorHAnsi"/>
          <w:b w:val="0"/>
          <w:noProof/>
          <w:sz w:val="22"/>
          <w:lang w:val="sv-SE" w:eastAsia="sv-SE"/>
        </w:rPr>
      </w:pPr>
      <w:hyperlink w:anchor="_Toc87060657" w:history="1">
        <w:r w:rsidRPr="004A7F0D">
          <w:rPr>
            <w:rStyle w:val="Hyperlink"/>
            <w:rFonts w:ascii="Symbol" w:hAnsi="Symbol"/>
            <w:noProof/>
            <w:lang w:val="en-GB" w:eastAsia="ja-JP"/>
          </w:rPr>
          <w:t></w:t>
        </w:r>
        <w:r>
          <w:rPr>
            <w:rFonts w:asciiTheme="minorHAnsi" w:eastAsiaTheme="minorEastAsia" w:hAnsiTheme="minorHAnsi"/>
            <w:b w:val="0"/>
            <w:noProof/>
            <w:sz w:val="22"/>
            <w:lang w:val="sv-SE" w:eastAsia="sv-SE"/>
          </w:rPr>
          <w:tab/>
        </w:r>
        <w:r w:rsidRPr="004A7F0D">
          <w:rPr>
            <w:rStyle w:val="Hyperlink"/>
            <w:noProof/>
            <w:lang w:val="en-GB" w:eastAsia="ja-JP"/>
          </w:rPr>
          <w:t>If using NCD-SSB is not feasible in idle/inactive but feasible in connected mode, the initial DL BWP should not contain paging CSS thus it does NOT expect it to contain SSB/CORESET#0/SIB. For an RRC-configured active DL BWP in connected mode, RedCap UE expects it to contain an NCD-SSB for serving cell but not CORESET#0/SIB.</w:t>
        </w:r>
      </w:hyperlink>
    </w:p>
    <w:p w14:paraId="3B67CBF0" w14:textId="0A7F148A" w:rsidR="007A78E0" w:rsidRDefault="007A78E0" w:rsidP="007A78E0">
      <w:pPr>
        <w:pStyle w:val="TableofFigures"/>
        <w:tabs>
          <w:tab w:val="right" w:leader="dot" w:pos="9629"/>
        </w:tabs>
        <w:ind w:left="2127" w:hanging="284"/>
        <w:rPr>
          <w:rFonts w:asciiTheme="minorHAnsi" w:eastAsiaTheme="minorEastAsia" w:hAnsiTheme="minorHAnsi"/>
          <w:b w:val="0"/>
          <w:noProof/>
          <w:sz w:val="22"/>
          <w:lang w:val="sv-SE" w:eastAsia="sv-SE"/>
        </w:rPr>
      </w:pPr>
      <w:hyperlink w:anchor="_Toc87060658" w:history="1">
        <w:r w:rsidRPr="004A7F0D">
          <w:rPr>
            <w:rStyle w:val="Hyperlink"/>
            <w:rFonts w:ascii="Symbol" w:hAnsi="Symbol"/>
            <w:noProof/>
            <w:lang w:val="en-GB" w:eastAsia="ja-JP"/>
          </w:rPr>
          <w:t></w:t>
        </w:r>
        <w:r>
          <w:rPr>
            <w:rFonts w:asciiTheme="minorHAnsi" w:eastAsiaTheme="minorEastAsia" w:hAnsiTheme="minorHAnsi"/>
            <w:b w:val="0"/>
            <w:noProof/>
            <w:sz w:val="22"/>
            <w:lang w:val="sv-SE" w:eastAsia="sv-SE"/>
          </w:rPr>
          <w:tab/>
        </w:r>
        <w:r w:rsidRPr="004A7F0D">
          <w:rPr>
            <w:rStyle w:val="Hyperlink"/>
            <w:noProof/>
            <w:lang w:val="en-GB" w:eastAsia="ja-JP"/>
          </w:rPr>
          <w:t>If using NCD-SSB is not feasible in idle/inactive and connected modes, Option 1 is the fall-back option for which the RedCap UE does NOT expect its DL BWP to always contain SSB/CORESET#0/SIB.</w:t>
        </w:r>
      </w:hyperlink>
    </w:p>
    <w:p w14:paraId="18078264" w14:textId="6734F7D5" w:rsidR="007A78E0" w:rsidRDefault="007A78E0">
      <w:pPr>
        <w:pStyle w:val="TableofFigures"/>
        <w:tabs>
          <w:tab w:val="right" w:leader="dot" w:pos="9629"/>
        </w:tabs>
        <w:rPr>
          <w:rFonts w:asciiTheme="minorHAnsi" w:eastAsiaTheme="minorEastAsia" w:hAnsiTheme="minorHAnsi"/>
          <w:b w:val="0"/>
          <w:noProof/>
          <w:sz w:val="22"/>
          <w:lang w:val="sv-SE" w:eastAsia="sv-SE"/>
        </w:rPr>
      </w:pPr>
      <w:hyperlink w:anchor="_Toc87060659" w:history="1">
        <w:r w:rsidRPr="004A7F0D">
          <w:rPr>
            <w:rStyle w:val="Hyperlink"/>
            <w:noProof/>
            <w:lang w:val="en-GB"/>
          </w:rPr>
          <w:t>Proposal 25</w:t>
        </w:r>
        <w:r>
          <w:rPr>
            <w:rFonts w:asciiTheme="minorHAnsi" w:eastAsiaTheme="minorEastAsia" w:hAnsiTheme="minorHAnsi"/>
            <w:b w:val="0"/>
            <w:noProof/>
            <w:sz w:val="22"/>
            <w:lang w:val="sv-SE" w:eastAsia="sv-SE"/>
          </w:rPr>
          <w:tab/>
        </w:r>
        <w:r w:rsidRPr="004A7F0D">
          <w:rPr>
            <w:rStyle w:val="Hyperlink"/>
            <w:noProof/>
            <w:lang w:val="en-GB"/>
          </w:rPr>
          <w:t>Regarding SSB transmissions in a RedCap DL BWP in FR2, Option 1 is considered for which the RedCap UE does NOT expect its DL BWP to always contain SSB/CORESET#0/SIB.</w:t>
        </w:r>
      </w:hyperlink>
    </w:p>
    <w:p w14:paraId="732205C0" w14:textId="0DFD39B2" w:rsidR="007A78E0" w:rsidRDefault="007A78E0">
      <w:pPr>
        <w:pStyle w:val="TableofFigures"/>
        <w:tabs>
          <w:tab w:val="right" w:leader="dot" w:pos="9629"/>
        </w:tabs>
        <w:rPr>
          <w:rFonts w:asciiTheme="minorHAnsi" w:eastAsiaTheme="minorEastAsia" w:hAnsiTheme="minorHAnsi"/>
          <w:b w:val="0"/>
          <w:noProof/>
          <w:sz w:val="22"/>
          <w:lang w:val="sv-SE" w:eastAsia="sv-SE"/>
        </w:rPr>
      </w:pPr>
      <w:hyperlink w:anchor="_Toc87060660" w:history="1">
        <w:r w:rsidRPr="004A7F0D">
          <w:rPr>
            <w:rStyle w:val="Hyperlink"/>
            <w:noProof/>
          </w:rPr>
          <w:t>Proposal 26</w:t>
        </w:r>
        <w:r>
          <w:rPr>
            <w:rFonts w:asciiTheme="minorHAnsi" w:eastAsiaTheme="minorEastAsia" w:hAnsiTheme="minorHAnsi"/>
            <w:b w:val="0"/>
            <w:noProof/>
            <w:sz w:val="22"/>
            <w:lang w:val="sv-SE" w:eastAsia="sv-SE"/>
          </w:rPr>
          <w:tab/>
        </w:r>
        <w:r w:rsidRPr="004A7F0D">
          <w:rPr>
            <w:rStyle w:val="Hyperlink"/>
            <w:noProof/>
          </w:rPr>
          <w:t>For SI update in RRC connected state when the RedCap DL BWP does not contain the entire CORESET #0, RedCap UEs rely on dedicated SIB delivery via RRC signaling or paging notification if the DL BWP contains the paging CSS.</w:t>
        </w:r>
      </w:hyperlink>
    </w:p>
    <w:p w14:paraId="7B438544" w14:textId="4932F8F8" w:rsidR="007A78E0" w:rsidRDefault="007A78E0">
      <w:pPr>
        <w:pStyle w:val="TableofFigures"/>
        <w:tabs>
          <w:tab w:val="right" w:leader="dot" w:pos="9629"/>
        </w:tabs>
        <w:rPr>
          <w:rFonts w:asciiTheme="minorHAnsi" w:eastAsiaTheme="minorEastAsia" w:hAnsiTheme="minorHAnsi"/>
          <w:b w:val="0"/>
          <w:noProof/>
          <w:sz w:val="22"/>
          <w:lang w:val="sv-SE" w:eastAsia="sv-SE"/>
        </w:rPr>
      </w:pPr>
      <w:hyperlink w:anchor="_Toc87060661" w:history="1">
        <w:r w:rsidRPr="004A7F0D">
          <w:rPr>
            <w:rStyle w:val="Hyperlink"/>
            <w:noProof/>
          </w:rPr>
          <w:t>Proposal 27</w:t>
        </w:r>
        <w:r>
          <w:rPr>
            <w:rFonts w:asciiTheme="minorHAnsi" w:eastAsiaTheme="minorEastAsia" w:hAnsiTheme="minorHAnsi"/>
            <w:b w:val="0"/>
            <w:noProof/>
            <w:sz w:val="22"/>
            <w:lang w:val="sv-SE" w:eastAsia="sv-SE"/>
          </w:rPr>
          <w:tab/>
        </w:r>
        <w:r w:rsidRPr="004A7F0D">
          <w:rPr>
            <w:rStyle w:val="Hyperlink"/>
            <w:noProof/>
          </w:rPr>
          <w:t>For SI update in RRC idle/inactive state when the RedCap initial DL BWP does not contain the entire CORESET #0, RedCap UEs rely on switching to CORESET #0.</w:t>
        </w:r>
      </w:hyperlink>
    </w:p>
    <w:p w14:paraId="685C7EE8" w14:textId="0D575591" w:rsidR="007A78E0" w:rsidRDefault="007A78E0">
      <w:pPr>
        <w:pStyle w:val="TableofFigures"/>
        <w:tabs>
          <w:tab w:val="right" w:leader="dot" w:pos="9629"/>
        </w:tabs>
        <w:rPr>
          <w:rFonts w:asciiTheme="minorHAnsi" w:eastAsiaTheme="minorEastAsia" w:hAnsiTheme="minorHAnsi"/>
          <w:b w:val="0"/>
          <w:noProof/>
          <w:sz w:val="22"/>
          <w:lang w:val="sv-SE" w:eastAsia="sv-SE"/>
        </w:rPr>
      </w:pPr>
      <w:hyperlink w:anchor="_Toc87060662" w:history="1">
        <w:r w:rsidRPr="004A7F0D">
          <w:rPr>
            <w:rStyle w:val="Hyperlink"/>
            <w:noProof/>
          </w:rPr>
          <w:t>Proposal 28</w:t>
        </w:r>
        <w:r>
          <w:rPr>
            <w:rFonts w:asciiTheme="minorHAnsi" w:eastAsiaTheme="minorEastAsia" w:hAnsiTheme="minorHAnsi"/>
            <w:b w:val="0"/>
            <w:noProof/>
            <w:sz w:val="22"/>
            <w:lang w:val="sv-SE" w:eastAsia="sv-SE"/>
          </w:rPr>
          <w:tab/>
        </w:r>
        <w:r w:rsidRPr="004A7F0D">
          <w:rPr>
            <w:rStyle w:val="Hyperlink"/>
            <w:noProof/>
          </w:rPr>
          <w:t>The RedCap UE should support a new FG for BWP operation where an RRC-configured DL BWP contains SSB but not CORESET #0.</w:t>
        </w:r>
      </w:hyperlink>
    </w:p>
    <w:p w14:paraId="71D79D99" w14:textId="3F7D7834" w:rsidR="00F507D1" w:rsidRPr="008E3596" w:rsidRDefault="006E1C82" w:rsidP="00CE0424">
      <w:pPr>
        <w:pStyle w:val="Heading1"/>
        <w:rPr>
          <w:lang w:val="en-US"/>
        </w:rPr>
      </w:pPr>
      <w:r w:rsidRPr="008E3596">
        <w:rPr>
          <w:b/>
          <w:bCs/>
          <w:lang w:val="en-US" w:eastAsia="zh-CN"/>
        </w:rPr>
        <w:fldChar w:fldCharType="end"/>
      </w:r>
      <w:bookmarkStart w:id="109" w:name="_In-sequence_SDU_delivery"/>
      <w:bookmarkEnd w:id="109"/>
      <w:r w:rsidR="00F507D1" w:rsidRPr="008E3596">
        <w:rPr>
          <w:lang w:val="en-US"/>
        </w:rPr>
        <w:t>References</w:t>
      </w:r>
    </w:p>
    <w:bookmarkStart w:id="110" w:name="_Ref71549373"/>
    <w:bookmarkStart w:id="111" w:name="_Ref65143491"/>
    <w:bookmarkStart w:id="112" w:name="_Ref174151459"/>
    <w:bookmarkStart w:id="113" w:name="_Ref189809556"/>
    <w:p w14:paraId="67A2B561" w14:textId="6FF8C4BD" w:rsidR="00653DA9" w:rsidRDefault="00C32EEF" w:rsidP="00181C9F">
      <w:pPr>
        <w:pStyle w:val="Reference"/>
      </w:pPr>
      <w:r>
        <w:fldChar w:fldCharType="begin"/>
      </w:r>
      <w:r>
        <w:instrText xml:space="preserve"> HYPERLINK "https://www.3gpp.org/ftp/TSG_RAN/TSG_RAN/TSGR_92e/Docs/RP-211574.zip" </w:instrText>
      </w:r>
      <w:r>
        <w:fldChar w:fldCharType="separate"/>
      </w:r>
      <w:r w:rsidRPr="00C32EEF">
        <w:rPr>
          <w:rStyle w:val="Hyperlink"/>
        </w:rPr>
        <w:t>RP-21</w:t>
      </w:r>
      <w:r w:rsidRPr="003C2027">
        <w:rPr>
          <w:rStyle w:val="Hyperlink"/>
        </w:rPr>
        <w:t>1574</w:t>
      </w:r>
      <w:r>
        <w:fldChar w:fldCharType="end"/>
      </w:r>
      <w:r w:rsidR="00653DA9" w:rsidRPr="00653DA9">
        <w:t xml:space="preserve">, </w:t>
      </w:r>
      <w:r w:rsidR="00097BD6">
        <w:t>“</w:t>
      </w:r>
      <w:r w:rsidR="0064142B">
        <w:t>Revised</w:t>
      </w:r>
      <w:r w:rsidR="00653DA9" w:rsidRPr="00653DA9">
        <w:t xml:space="preserve"> WID on support of reduced capability NR devices</w:t>
      </w:r>
      <w:r w:rsidR="00097BD6">
        <w:t>”</w:t>
      </w:r>
      <w:r w:rsidR="00653DA9" w:rsidRPr="00653DA9">
        <w:t>, Ericsson, 3GPP TSG RAN #9</w:t>
      </w:r>
      <w:r w:rsidR="007867C4">
        <w:t>2</w:t>
      </w:r>
      <w:r w:rsidR="00653DA9" w:rsidRPr="00653DA9">
        <w:t xml:space="preserve">e, </w:t>
      </w:r>
      <w:r w:rsidR="005143AB">
        <w:t>June</w:t>
      </w:r>
      <w:r w:rsidR="00653DA9" w:rsidRPr="00653DA9">
        <w:t xml:space="preserve"> 202</w:t>
      </w:r>
      <w:r w:rsidR="00A45184">
        <w:t>1</w:t>
      </w:r>
      <w:r w:rsidR="00653DA9" w:rsidRPr="00653DA9">
        <w:t>.</w:t>
      </w:r>
      <w:bookmarkEnd w:id="110"/>
      <w:r w:rsidR="00653DA9" w:rsidRPr="00653DA9">
        <w:t xml:space="preserve"> </w:t>
      </w:r>
      <w:bookmarkEnd w:id="111"/>
    </w:p>
    <w:bookmarkStart w:id="114" w:name="_Ref70404129"/>
    <w:p w14:paraId="5206719A" w14:textId="2BDA431C" w:rsidR="0082423B" w:rsidRDefault="00237ECE" w:rsidP="00181C9F">
      <w:pPr>
        <w:pStyle w:val="Reference"/>
      </w:pPr>
      <w:r>
        <w:fldChar w:fldCharType="begin"/>
      </w:r>
      <w:r>
        <w:instrText xml:space="preserve"> HYPERLINK "https://www.3gpp.org/ftp/tsg_ran/WG1_RL1/TSGR1_106b-e/Docs/R1-2110385.zip" </w:instrText>
      </w:r>
      <w:r>
        <w:fldChar w:fldCharType="separate"/>
      </w:r>
      <w:r w:rsidR="00901C01" w:rsidRPr="00237ECE">
        <w:rPr>
          <w:rStyle w:val="Hyperlink"/>
        </w:rPr>
        <w:t>R1-21</w:t>
      </w:r>
      <w:r w:rsidRPr="00237ECE">
        <w:rPr>
          <w:rStyle w:val="Hyperlink"/>
        </w:rPr>
        <w:t>10385</w:t>
      </w:r>
      <w:r>
        <w:fldChar w:fldCharType="end"/>
      </w:r>
      <w:r w:rsidR="005119CA" w:rsidRPr="003868F5">
        <w:t>,</w:t>
      </w:r>
      <w:r w:rsidR="005119CA">
        <w:t xml:space="preserve"> “</w:t>
      </w:r>
      <w:r w:rsidR="005119CA" w:rsidRPr="009237DC">
        <w:t>RAN1 agreements for Rel-17 NR RedCap</w:t>
      </w:r>
      <w:r w:rsidR="005119CA">
        <w:t xml:space="preserve">”, </w:t>
      </w:r>
      <w:r w:rsidR="005119CA" w:rsidRPr="009237DC">
        <w:t>Rapporteur (Ericsson), 3GPP TSG RAN</w:t>
      </w:r>
      <w:r w:rsidR="005119CA">
        <w:t>1</w:t>
      </w:r>
      <w:r w:rsidR="005119CA" w:rsidRPr="009237DC">
        <w:t xml:space="preserve"> #</w:t>
      </w:r>
      <w:r w:rsidR="005119CA">
        <w:t>10</w:t>
      </w:r>
      <w:r w:rsidR="00901C01">
        <w:t>5</w:t>
      </w:r>
      <w:r w:rsidR="007F751A">
        <w:t>-</w:t>
      </w:r>
      <w:r w:rsidR="005119CA" w:rsidRPr="009237DC">
        <w:t xml:space="preserve">e, </w:t>
      </w:r>
      <w:r w:rsidR="00901C01">
        <w:t>May</w:t>
      </w:r>
      <w:r w:rsidR="005119CA" w:rsidRPr="009237DC">
        <w:t xml:space="preserve"> 202</w:t>
      </w:r>
      <w:r w:rsidR="005119CA">
        <w:t>1.</w:t>
      </w:r>
      <w:bookmarkEnd w:id="114"/>
    </w:p>
    <w:bookmarkStart w:id="115" w:name="_Ref67564131"/>
    <w:p w14:paraId="6204DCD5" w14:textId="77B74CDB" w:rsidR="007B265C" w:rsidRPr="00653DA9" w:rsidRDefault="00D70844" w:rsidP="00181C9F">
      <w:pPr>
        <w:pStyle w:val="Reference"/>
      </w:pPr>
      <w:r>
        <w:fldChar w:fldCharType="begin"/>
      </w:r>
      <w:r>
        <w:instrText xml:space="preserve"> HYPERLINK "https://www.3gpp.org/ftp/Specs/archive/38_series/38.331/38331-g41.zip" </w:instrText>
      </w:r>
      <w:r>
        <w:fldChar w:fldCharType="separate"/>
      </w:r>
      <w:r w:rsidR="007B265C" w:rsidRPr="00D70844">
        <w:rPr>
          <w:rStyle w:val="Hyperlink"/>
        </w:rPr>
        <w:t>TS 38.331</w:t>
      </w:r>
      <w:r w:rsidR="0030399E" w:rsidRPr="00D70844">
        <w:rPr>
          <w:rStyle w:val="Hyperlink"/>
        </w:rPr>
        <w:t xml:space="preserve"> V16.</w:t>
      </w:r>
      <w:r w:rsidRPr="00D70844">
        <w:rPr>
          <w:rStyle w:val="Hyperlink"/>
        </w:rPr>
        <w:t>4</w:t>
      </w:r>
      <w:r w:rsidR="0030399E" w:rsidRPr="00D70844">
        <w:rPr>
          <w:rStyle w:val="Hyperlink"/>
        </w:rPr>
        <w:t>.1</w:t>
      </w:r>
      <w:r>
        <w:fldChar w:fldCharType="end"/>
      </w:r>
      <w:r w:rsidR="007B265C">
        <w:t xml:space="preserve">, </w:t>
      </w:r>
      <w:r w:rsidR="007B265C" w:rsidDel="003B2145">
        <w:t>“</w:t>
      </w:r>
      <w:r w:rsidR="007B265C">
        <w:t>Radio Resource Control (RRC) protocol specification</w:t>
      </w:r>
      <w:r w:rsidR="00405ECE">
        <w:t xml:space="preserve"> (Release 16)</w:t>
      </w:r>
      <w:r w:rsidR="007B265C">
        <w:t xml:space="preserve">”, </w:t>
      </w:r>
      <w:r w:rsidR="001F1D2C">
        <w:t>March</w:t>
      </w:r>
      <w:r w:rsidR="007B265C">
        <w:t xml:space="preserve"> 2021.</w:t>
      </w:r>
      <w:bookmarkEnd w:id="115"/>
    </w:p>
    <w:bookmarkStart w:id="116" w:name="_Ref61000392"/>
    <w:bookmarkStart w:id="117" w:name="_Ref61002079"/>
    <w:p w14:paraId="1F2E9BAD" w14:textId="4E0C6080" w:rsidR="000B4232" w:rsidRPr="000B4232" w:rsidRDefault="0030399E" w:rsidP="00181C9F">
      <w:pPr>
        <w:pStyle w:val="Reference"/>
        <w:rPr>
          <w:rFonts w:cs="Arial"/>
          <w:szCs w:val="20"/>
        </w:rPr>
      </w:pPr>
      <w:r>
        <w:rPr>
          <w:rFonts w:cs="Arial"/>
          <w:szCs w:val="20"/>
        </w:rPr>
        <w:fldChar w:fldCharType="begin"/>
      </w:r>
      <w:r>
        <w:rPr>
          <w:rFonts w:cs="Arial"/>
          <w:szCs w:val="20"/>
        </w:rPr>
        <w:instrText xml:space="preserve"> HYPERLINK "https://www.3gpp.org/ftp/Specs/archive/38_series/38.875/38875-h00.zip" </w:instrText>
      </w:r>
      <w:r w:rsidR="0080118D">
        <w:rPr>
          <w:rFonts w:cs="Arial"/>
          <w:szCs w:val="20"/>
        </w:rPr>
      </w:r>
      <w:r>
        <w:rPr>
          <w:rFonts w:cs="Arial"/>
          <w:szCs w:val="20"/>
        </w:rPr>
        <w:fldChar w:fldCharType="separate"/>
      </w:r>
      <w:r w:rsidRPr="00933097">
        <w:rPr>
          <w:rStyle w:val="Hyperlink"/>
          <w:rFonts w:cs="Arial"/>
          <w:szCs w:val="20"/>
        </w:rPr>
        <w:t>TR 38.875 V17.0.0</w:t>
      </w:r>
      <w:r>
        <w:rPr>
          <w:rFonts w:cs="Arial"/>
          <w:szCs w:val="20"/>
        </w:rPr>
        <w:fldChar w:fldCharType="end"/>
      </w:r>
      <w:r w:rsidR="000B4232" w:rsidRPr="00BA01D8">
        <w:rPr>
          <w:rFonts w:cs="Arial"/>
          <w:szCs w:val="20"/>
        </w:rPr>
        <w:t xml:space="preserve">, </w:t>
      </w:r>
      <w:r w:rsidR="003B2145">
        <w:rPr>
          <w:rFonts w:cs="Arial"/>
          <w:szCs w:val="20"/>
        </w:rPr>
        <w:t>“</w:t>
      </w:r>
      <w:r w:rsidR="000B4232" w:rsidRPr="00BA01D8">
        <w:rPr>
          <w:rFonts w:cs="Arial"/>
          <w:szCs w:val="20"/>
        </w:rPr>
        <w:t>Study on support of reduced capability NR devices (Release 17)</w:t>
      </w:r>
      <w:r w:rsidR="003B2145">
        <w:rPr>
          <w:rFonts w:cs="Arial"/>
          <w:szCs w:val="20"/>
        </w:rPr>
        <w:t>”</w:t>
      </w:r>
      <w:r w:rsidR="000B4232" w:rsidRPr="00BA01D8">
        <w:rPr>
          <w:rFonts w:cs="Arial"/>
          <w:szCs w:val="20"/>
        </w:rPr>
        <w:t xml:space="preserve">, </w:t>
      </w:r>
      <w:r w:rsidR="00695E95">
        <w:rPr>
          <w:rFonts w:cs="Arial"/>
          <w:szCs w:val="20"/>
        </w:rPr>
        <w:t>March</w:t>
      </w:r>
      <w:r w:rsidR="000B4232" w:rsidRPr="00BA01D8">
        <w:rPr>
          <w:rFonts w:cs="Arial"/>
          <w:szCs w:val="20"/>
        </w:rPr>
        <w:t xml:space="preserve"> 202</w:t>
      </w:r>
      <w:r w:rsidR="00695E95">
        <w:rPr>
          <w:rFonts w:cs="Arial"/>
          <w:szCs w:val="20"/>
        </w:rPr>
        <w:t>1</w:t>
      </w:r>
      <w:r w:rsidR="000B4232" w:rsidRPr="00BA01D8">
        <w:rPr>
          <w:rFonts w:cs="Arial"/>
          <w:szCs w:val="20"/>
        </w:rPr>
        <w:t>.</w:t>
      </w:r>
      <w:bookmarkEnd w:id="116"/>
      <w:bookmarkEnd w:id="117"/>
    </w:p>
    <w:bookmarkStart w:id="118" w:name="_Ref67909151"/>
    <w:bookmarkEnd w:id="112"/>
    <w:bookmarkEnd w:id="113"/>
    <w:p w14:paraId="79DB1424" w14:textId="24CC7087" w:rsidR="002B0DC2" w:rsidRDefault="00B66CBF" w:rsidP="00181C9F">
      <w:pPr>
        <w:pStyle w:val="Reference"/>
      </w:pPr>
      <w:r>
        <w:fldChar w:fldCharType="begin"/>
      </w:r>
      <w:r>
        <w:instrText xml:space="preserve"> HYPERLINK "https://www.3gpp.org/ftp/Specs/archive/38_series/38.213/38213-g50.zip" </w:instrText>
      </w:r>
      <w:r>
        <w:fldChar w:fldCharType="separate"/>
      </w:r>
      <w:r w:rsidR="002B0DC2" w:rsidRPr="00B66CBF">
        <w:rPr>
          <w:rStyle w:val="Hyperlink"/>
        </w:rPr>
        <w:t>TS 38.213</w:t>
      </w:r>
      <w:r w:rsidR="0030399E" w:rsidRPr="00B66CBF">
        <w:rPr>
          <w:rStyle w:val="Hyperlink"/>
        </w:rPr>
        <w:t xml:space="preserve"> V16.</w:t>
      </w:r>
      <w:r w:rsidRPr="00B66CBF">
        <w:rPr>
          <w:rStyle w:val="Hyperlink"/>
        </w:rPr>
        <w:t>5</w:t>
      </w:r>
      <w:r w:rsidR="0030399E" w:rsidRPr="00B66CBF">
        <w:rPr>
          <w:rStyle w:val="Hyperlink"/>
        </w:rPr>
        <w:t>.0</w:t>
      </w:r>
      <w:r>
        <w:fldChar w:fldCharType="end"/>
      </w:r>
      <w:r w:rsidR="002B0DC2">
        <w:t>, “</w:t>
      </w:r>
      <w:r w:rsidR="002B0DC2" w:rsidRPr="002B0DC2">
        <w:t>Physical layer procedures for control</w:t>
      </w:r>
      <w:r w:rsidR="005C7555">
        <w:t xml:space="preserve"> (Release 16)</w:t>
      </w:r>
      <w:r w:rsidR="002B0DC2">
        <w:t xml:space="preserve">”, </w:t>
      </w:r>
      <w:r>
        <w:t>March</w:t>
      </w:r>
      <w:r w:rsidR="002B0DC2">
        <w:t xml:space="preserve"> 2021.</w:t>
      </w:r>
      <w:bookmarkEnd w:id="118"/>
    </w:p>
    <w:bookmarkStart w:id="119" w:name="_Ref70790894"/>
    <w:p w14:paraId="7D140C4F" w14:textId="37CAFD30" w:rsidR="00CA1929" w:rsidRDefault="00164F6D" w:rsidP="00181C9F">
      <w:pPr>
        <w:pStyle w:val="Reference"/>
      </w:pPr>
      <w:r>
        <w:fldChar w:fldCharType="begin"/>
      </w:r>
      <w:r>
        <w:instrText xml:space="preserve"> HYPERLINK "https://www.3gpp.org/ftp/Specs/archive/38_series/38.822/38822-f01.zip" </w:instrText>
      </w:r>
      <w:r>
        <w:fldChar w:fldCharType="separate"/>
      </w:r>
      <w:r w:rsidR="00C87C49" w:rsidRPr="00164F6D">
        <w:rPr>
          <w:rStyle w:val="Hyperlink"/>
        </w:rPr>
        <w:t xml:space="preserve">TR </w:t>
      </w:r>
      <w:r w:rsidR="00E82146" w:rsidRPr="00164F6D">
        <w:rPr>
          <w:rStyle w:val="Hyperlink"/>
        </w:rPr>
        <w:t>38.822</w:t>
      </w:r>
      <w:r w:rsidR="006C0E56" w:rsidRPr="00164F6D">
        <w:rPr>
          <w:rStyle w:val="Hyperlink"/>
        </w:rPr>
        <w:t xml:space="preserve"> V</w:t>
      </w:r>
      <w:r w:rsidR="006E190A" w:rsidRPr="00164F6D">
        <w:rPr>
          <w:rStyle w:val="Hyperlink"/>
        </w:rPr>
        <w:t>15</w:t>
      </w:r>
      <w:r w:rsidR="006C2173" w:rsidRPr="00164F6D">
        <w:rPr>
          <w:rStyle w:val="Hyperlink"/>
        </w:rPr>
        <w:t>.0.1</w:t>
      </w:r>
      <w:r>
        <w:fldChar w:fldCharType="end"/>
      </w:r>
      <w:r w:rsidR="006C2173">
        <w:t>, “</w:t>
      </w:r>
      <w:r w:rsidR="00CA1929" w:rsidRPr="000E3724">
        <w:t>User Equipment (UE) feature list</w:t>
      </w:r>
      <w:r w:rsidR="006C2173">
        <w:t>”</w:t>
      </w:r>
      <w:r>
        <w:t>, July 2019.</w:t>
      </w:r>
      <w:bookmarkEnd w:id="119"/>
    </w:p>
    <w:bookmarkStart w:id="120" w:name="_Ref67564156"/>
    <w:p w14:paraId="7E0A1DE4" w14:textId="4BDEDA8D" w:rsidR="007C31D2" w:rsidRDefault="00BF2743" w:rsidP="00181C9F">
      <w:pPr>
        <w:pStyle w:val="Reference"/>
      </w:pPr>
      <w:r>
        <w:fldChar w:fldCharType="begin"/>
      </w:r>
      <w:r>
        <w:instrText xml:space="preserve"> HYPERLINK "https://www.3gpp.org/ftp/Specs/archive/38_series/38.306/38306-g40.zip" </w:instrText>
      </w:r>
      <w:r>
        <w:fldChar w:fldCharType="separate"/>
      </w:r>
      <w:r w:rsidR="007C31D2" w:rsidRPr="00BF2743">
        <w:rPr>
          <w:rStyle w:val="Hyperlink"/>
        </w:rPr>
        <w:t>TS 38.306</w:t>
      </w:r>
      <w:r w:rsidR="0030399E" w:rsidRPr="00BF2743">
        <w:rPr>
          <w:rStyle w:val="Hyperlink"/>
        </w:rPr>
        <w:t xml:space="preserve"> V16.</w:t>
      </w:r>
      <w:r w:rsidRPr="00BF2743">
        <w:rPr>
          <w:rStyle w:val="Hyperlink"/>
        </w:rPr>
        <w:t>4</w:t>
      </w:r>
      <w:r w:rsidR="0030399E" w:rsidRPr="00BF2743">
        <w:rPr>
          <w:rStyle w:val="Hyperlink"/>
        </w:rPr>
        <w:t>.0</w:t>
      </w:r>
      <w:r>
        <w:fldChar w:fldCharType="end"/>
      </w:r>
      <w:r w:rsidR="007C31D2">
        <w:t>, “</w:t>
      </w:r>
      <w:r w:rsidR="00E87072">
        <w:t>User Equipment (UE) radio access capabilities</w:t>
      </w:r>
      <w:r w:rsidR="00B960C4">
        <w:t xml:space="preserve"> (Release 16)</w:t>
      </w:r>
      <w:r w:rsidR="007C31D2">
        <w:t>”</w:t>
      </w:r>
      <w:r w:rsidR="00E87072">
        <w:t xml:space="preserve">, </w:t>
      </w:r>
      <w:r w:rsidR="00AB4A9D">
        <w:t>March</w:t>
      </w:r>
      <w:r w:rsidR="00E87072">
        <w:t xml:space="preserve"> 202</w:t>
      </w:r>
      <w:r w:rsidR="00AB4A9D">
        <w:t>1</w:t>
      </w:r>
      <w:r w:rsidR="00E87072">
        <w:t>.</w:t>
      </w:r>
      <w:bookmarkEnd w:id="120"/>
    </w:p>
    <w:p w14:paraId="4F1F4B06" w14:textId="3F733B13" w:rsidR="00E87072" w:rsidRDefault="007A78E0" w:rsidP="00181C9F">
      <w:pPr>
        <w:pStyle w:val="Reference"/>
      </w:pPr>
      <w:hyperlink r:id="rId40" w:history="1">
        <w:r w:rsidR="00E87072" w:rsidRPr="00C35BE4">
          <w:rPr>
            <w:rStyle w:val="Hyperlink"/>
          </w:rPr>
          <w:t>TS 38.211</w:t>
        </w:r>
        <w:r w:rsidR="0030399E" w:rsidRPr="00C35BE4">
          <w:rPr>
            <w:rStyle w:val="Hyperlink"/>
          </w:rPr>
          <w:t xml:space="preserve"> V16.</w:t>
        </w:r>
        <w:r w:rsidR="00C35BE4" w:rsidRPr="00C35BE4">
          <w:rPr>
            <w:rStyle w:val="Hyperlink"/>
          </w:rPr>
          <w:t>5</w:t>
        </w:r>
        <w:r w:rsidR="0030399E" w:rsidRPr="00C35BE4">
          <w:rPr>
            <w:rStyle w:val="Hyperlink"/>
          </w:rPr>
          <w:t>.0</w:t>
        </w:r>
      </w:hyperlink>
      <w:r w:rsidR="00E87072">
        <w:t>, “Physical channels and modulation</w:t>
      </w:r>
      <w:r w:rsidR="00B960C4">
        <w:t xml:space="preserve"> (Release 16)</w:t>
      </w:r>
      <w:r w:rsidR="00E87072">
        <w:t xml:space="preserve">”, </w:t>
      </w:r>
      <w:r w:rsidR="00D63809">
        <w:t>March</w:t>
      </w:r>
      <w:r w:rsidR="00E87072">
        <w:t xml:space="preserve"> 202</w:t>
      </w:r>
      <w:r w:rsidR="00B143A3">
        <w:t>1</w:t>
      </w:r>
      <w:r w:rsidR="00E87072">
        <w:t>.</w:t>
      </w:r>
    </w:p>
    <w:bookmarkStart w:id="121" w:name="_Ref86510435"/>
    <w:p w14:paraId="715CA09B" w14:textId="350B8615" w:rsidR="003A7EF3" w:rsidRPr="00CE0424" w:rsidRDefault="00D31786" w:rsidP="00CE0424">
      <w:pPr>
        <w:pStyle w:val="Reference"/>
      </w:pPr>
      <w:r>
        <w:fldChar w:fldCharType="begin"/>
      </w:r>
      <w:r>
        <w:instrText xml:space="preserve"> HYPERLINK "https://www.3gpp.org/ftp/tsg_ran/WG4_Radio/TSGR4_101-e/Docs/R4-2119055.zip" </w:instrText>
      </w:r>
      <w:r>
        <w:fldChar w:fldCharType="separate"/>
      </w:r>
      <w:r w:rsidR="001D7E2F" w:rsidRPr="00D31786">
        <w:rPr>
          <w:rStyle w:val="Hyperlink"/>
        </w:rPr>
        <w:t>R4-2119055</w:t>
      </w:r>
      <w:r>
        <w:fldChar w:fldCharType="end"/>
      </w:r>
      <w:r w:rsidR="001D7E2F">
        <w:t>,</w:t>
      </w:r>
      <w:r w:rsidR="001D7E2F" w:rsidRPr="001D7E2F">
        <w:t xml:space="preserve"> </w:t>
      </w:r>
      <w:r w:rsidR="00B27C80">
        <w:t>“</w:t>
      </w:r>
      <w:r w:rsidR="009B0597" w:rsidRPr="009B0597">
        <w:t>Discussions on general requirements for RedCap</w:t>
      </w:r>
      <w:r w:rsidR="00B27C80">
        <w:t xml:space="preserve">”, Ericsson, </w:t>
      </w:r>
      <w:r w:rsidR="00CA6356">
        <w:t>3GPP TSG RAN4</w:t>
      </w:r>
      <w:r w:rsidR="004E12B7" w:rsidRPr="004E12B7">
        <w:t>#101-e</w:t>
      </w:r>
      <w:r w:rsidR="007950B9">
        <w:t>, October 2021.</w:t>
      </w:r>
      <w:bookmarkEnd w:id="121"/>
    </w:p>
    <w:sectPr w:rsidR="003A7EF3" w:rsidRPr="00CE0424" w:rsidSect="00C473A5">
      <w:headerReference w:type="even" r:id="rId41"/>
      <w:footerReference w:type="default" r:id="rId4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D5552B" w14:textId="77777777" w:rsidR="00B27CAC" w:rsidRDefault="00B27CAC">
      <w:r>
        <w:separator/>
      </w:r>
    </w:p>
  </w:endnote>
  <w:endnote w:type="continuationSeparator" w:id="0">
    <w:p w14:paraId="0DE22CC4" w14:textId="77777777" w:rsidR="00B27CAC" w:rsidRDefault="00B27CAC">
      <w:r>
        <w:continuationSeparator/>
      </w:r>
    </w:p>
  </w:endnote>
  <w:endnote w:type="continuationNotice" w:id="1">
    <w:p w14:paraId="6C7F82A4" w14:textId="77777777" w:rsidR="00B27CAC" w:rsidRDefault="00B27CA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Yu Mincho">
    <w:altName w:val="游明朝"/>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3E3324" w14:textId="77777777" w:rsidR="00B46BB5" w:rsidRDefault="00B46BB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65165C" w14:textId="77777777" w:rsidR="00B27CAC" w:rsidRDefault="00B27CAC">
      <w:r>
        <w:separator/>
      </w:r>
    </w:p>
  </w:footnote>
  <w:footnote w:type="continuationSeparator" w:id="0">
    <w:p w14:paraId="14C1307F" w14:textId="77777777" w:rsidR="00B27CAC" w:rsidRDefault="00B27CAC">
      <w:r>
        <w:continuationSeparator/>
      </w:r>
    </w:p>
  </w:footnote>
  <w:footnote w:type="continuationNotice" w:id="1">
    <w:p w14:paraId="67F652EB" w14:textId="77777777" w:rsidR="00B27CAC" w:rsidRDefault="00B27CA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9CAA3A" w14:textId="77777777" w:rsidR="00B46BB5" w:rsidRDefault="00B46BB5">
    <w:r>
      <w:t xml:space="preserve">Page </w:t>
    </w:r>
    <w:r>
      <w:fldChar w:fldCharType="begin"/>
    </w:r>
    <w:r>
      <w:instrText>PAGE</w:instrText>
    </w:r>
    <w:r>
      <w:fldChar w:fldCharType="separate"/>
    </w:r>
    <w:r>
      <w:t>4</w:t>
    </w:r>
    <w:r>
      <w:fldChar w:fldCharType="end"/>
    </w:r>
    <w:r>
      <w:br/>
      <w:t xml:space="preserve">Draft </w:t>
    </w:r>
    <w:r>
      <w:t>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0F94585E"/>
    <w:multiLevelType w:val="hybridMultilevel"/>
    <w:tmpl w:val="BBBA45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600F6A"/>
    <w:multiLevelType w:val="hybridMultilevel"/>
    <w:tmpl w:val="97562E4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E2828F8"/>
    <w:multiLevelType w:val="multilevel"/>
    <w:tmpl w:val="C02A9E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360643B"/>
    <w:multiLevelType w:val="hybridMultilevel"/>
    <w:tmpl w:val="F01E4160"/>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8" w15:restartNumberingAfterBreak="0">
    <w:nsid w:val="26D31F4D"/>
    <w:multiLevelType w:val="hybridMultilevel"/>
    <w:tmpl w:val="77AEAE2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ADB46BF"/>
    <w:multiLevelType w:val="hybridMultilevel"/>
    <w:tmpl w:val="A6CED8D8"/>
    <w:lvl w:ilvl="0" w:tplc="04090001">
      <w:start w:val="1"/>
      <w:numFmt w:val="bullet"/>
      <w:lvlText w:val=""/>
      <w:lvlJc w:val="left"/>
      <w:pPr>
        <w:ind w:left="4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4AE4795"/>
    <w:multiLevelType w:val="multilevel"/>
    <w:tmpl w:val="D7A6BA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64A6752"/>
    <w:multiLevelType w:val="multilevel"/>
    <w:tmpl w:val="05E807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9913EA2"/>
    <w:multiLevelType w:val="hybridMultilevel"/>
    <w:tmpl w:val="38A21676"/>
    <w:lvl w:ilvl="0" w:tplc="019E8480">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AA46647"/>
    <w:multiLevelType w:val="hybridMultilevel"/>
    <w:tmpl w:val="31782F60"/>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E045D"/>
    <w:multiLevelType w:val="hybridMultilevel"/>
    <w:tmpl w:val="FFDC6650"/>
    <w:lvl w:ilvl="0" w:tplc="04090001">
      <w:start w:val="1"/>
      <w:numFmt w:val="bullet"/>
      <w:lvlText w:val=""/>
      <w:lvlJc w:val="left"/>
      <w:pPr>
        <w:ind w:left="2024" w:hanging="360"/>
      </w:pPr>
      <w:rPr>
        <w:rFonts w:ascii="Symbol" w:hAnsi="Symbol" w:hint="default"/>
      </w:rPr>
    </w:lvl>
    <w:lvl w:ilvl="1" w:tplc="041D0003">
      <w:start w:val="1"/>
      <w:numFmt w:val="bullet"/>
      <w:lvlText w:val="o"/>
      <w:lvlJc w:val="left"/>
      <w:pPr>
        <w:ind w:left="2784" w:hanging="400"/>
      </w:pPr>
      <w:rPr>
        <w:rFonts w:ascii="Courier New" w:hAnsi="Courier New" w:cs="Courier New" w:hint="default"/>
      </w:rPr>
    </w:lvl>
    <w:lvl w:ilvl="2" w:tplc="04090005">
      <w:start w:val="1"/>
      <w:numFmt w:val="bullet"/>
      <w:lvlText w:val=""/>
      <w:lvlJc w:val="left"/>
      <w:pPr>
        <w:ind w:left="3464" w:hanging="360"/>
      </w:pPr>
      <w:rPr>
        <w:rFonts w:ascii="Wingdings" w:hAnsi="Wingdings" w:hint="default"/>
      </w:rPr>
    </w:lvl>
    <w:lvl w:ilvl="3" w:tplc="0409000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18" w15:restartNumberingAfterBreak="0">
    <w:nsid w:val="40203CD8"/>
    <w:multiLevelType w:val="hybridMultilevel"/>
    <w:tmpl w:val="E6FCDF90"/>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19" w15:restartNumberingAfterBreak="0">
    <w:nsid w:val="46CB2851"/>
    <w:multiLevelType w:val="multilevel"/>
    <w:tmpl w:val="AEB617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72A517C"/>
    <w:multiLevelType w:val="hybridMultilevel"/>
    <w:tmpl w:val="6B46B7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4E100BCA"/>
    <w:lvl w:ilvl="0" w:tplc="08866432">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70B0069"/>
    <w:multiLevelType w:val="hybridMultilevel"/>
    <w:tmpl w:val="B2560ECE"/>
    <w:lvl w:ilvl="0" w:tplc="04090001">
      <w:start w:val="1"/>
      <w:numFmt w:val="bullet"/>
      <w:lvlText w:val=""/>
      <w:lvlJc w:val="left"/>
      <w:pPr>
        <w:ind w:left="2024" w:hanging="360"/>
      </w:pPr>
      <w:rPr>
        <w:rFonts w:ascii="Symbol" w:hAnsi="Symbol" w:hint="default"/>
      </w:rPr>
    </w:lvl>
    <w:lvl w:ilvl="1" w:tplc="04090003">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2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5CE932D0"/>
    <w:multiLevelType w:val="hybridMultilevel"/>
    <w:tmpl w:val="09B6DCD8"/>
    <w:lvl w:ilvl="0" w:tplc="04090001">
      <w:start w:val="1"/>
      <w:numFmt w:val="bullet"/>
      <w:lvlText w:val=""/>
      <w:lvlJc w:val="left"/>
      <w:pPr>
        <w:ind w:left="4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6FB7882"/>
    <w:multiLevelType w:val="multilevel"/>
    <w:tmpl w:val="E3F034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73D50A1"/>
    <w:multiLevelType w:val="hybridMultilevel"/>
    <w:tmpl w:val="EC529E2E"/>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29" w15:restartNumberingAfterBreak="0">
    <w:nsid w:val="6BFA1183"/>
    <w:multiLevelType w:val="multilevel"/>
    <w:tmpl w:val="14A8AED4"/>
    <w:lvl w:ilvl="0">
      <w:start w:val="1"/>
      <w:numFmt w:val="decimal"/>
      <w:lvlText w:val="%1)"/>
      <w:lvlJc w:val="left"/>
      <w:pPr>
        <w:tabs>
          <w:tab w:val="num" w:pos="720"/>
        </w:tabs>
        <w:ind w:left="720" w:hanging="360"/>
      </w:pPr>
      <w:rPr>
        <w:rFonts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21"/>
  </w:num>
  <w:num w:numId="2">
    <w:abstractNumId w:val="16"/>
  </w:num>
  <w:num w:numId="3">
    <w:abstractNumId w:val="0"/>
  </w:num>
  <w:num w:numId="4">
    <w:abstractNumId w:val="23"/>
  </w:num>
  <w:num w:numId="5">
    <w:abstractNumId w:val="25"/>
  </w:num>
  <w:num w:numId="6">
    <w:abstractNumId w:val="6"/>
  </w:num>
  <w:num w:numId="7">
    <w:abstractNumId w:val="9"/>
  </w:num>
  <w:num w:numId="8">
    <w:abstractNumId w:val="1"/>
  </w:num>
  <w:num w:numId="9">
    <w:abstractNumId w:val="31"/>
  </w:num>
  <w:num w:numId="10">
    <w:abstractNumId w:val="12"/>
  </w:num>
  <w:num w:numId="11">
    <w:abstractNumId w:val="30"/>
  </w:num>
  <w:num w:numId="12">
    <w:abstractNumId w:val="2"/>
  </w:num>
  <w:num w:numId="13">
    <w:abstractNumId w:val="11"/>
  </w:num>
  <w:num w:numId="14">
    <w:abstractNumId w:val="22"/>
  </w:num>
  <w:num w:numId="15">
    <w:abstractNumId w:val="3"/>
  </w:num>
  <w:num w:numId="16">
    <w:abstractNumId w:val="10"/>
  </w:num>
  <w:num w:numId="17">
    <w:abstractNumId w:val="5"/>
  </w:num>
  <w:num w:numId="18">
    <w:abstractNumId w:val="27"/>
  </w:num>
  <w:num w:numId="19">
    <w:abstractNumId w:val="19"/>
  </w:num>
  <w:num w:numId="20">
    <w:abstractNumId w:val="14"/>
  </w:num>
  <w:num w:numId="21">
    <w:abstractNumId w:val="24"/>
  </w:num>
  <w:num w:numId="22">
    <w:abstractNumId w:val="4"/>
  </w:num>
  <w:num w:numId="23">
    <w:abstractNumId w:val="13"/>
  </w:num>
  <w:num w:numId="24">
    <w:abstractNumId w:val="29"/>
  </w:num>
  <w:num w:numId="25">
    <w:abstractNumId w:val="7"/>
  </w:num>
  <w:num w:numId="26">
    <w:abstractNumId w:val="22"/>
  </w:num>
  <w:num w:numId="27">
    <w:abstractNumId w:val="8"/>
  </w:num>
  <w:num w:numId="28">
    <w:abstractNumId w:val="20"/>
  </w:num>
  <w:num w:numId="29">
    <w:abstractNumId w:val="17"/>
  </w:num>
  <w:num w:numId="30">
    <w:abstractNumId w:val="15"/>
  </w:num>
  <w:num w:numId="31">
    <w:abstractNumId w:val="26"/>
  </w:num>
  <w:num w:numId="32">
    <w:abstractNumId w:val="18"/>
  </w:num>
  <w:num w:numId="33">
    <w:abstractNumId w:val="16"/>
  </w:num>
  <w:num w:numId="34">
    <w:abstractNumId w:val="28"/>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08F7"/>
    <w:rsid w:val="00000B5F"/>
    <w:rsid w:val="000016C4"/>
    <w:rsid w:val="0000175A"/>
    <w:rsid w:val="000019DE"/>
    <w:rsid w:val="00001D3C"/>
    <w:rsid w:val="00002512"/>
    <w:rsid w:val="0000284B"/>
    <w:rsid w:val="00002A37"/>
    <w:rsid w:val="00003308"/>
    <w:rsid w:val="000036C1"/>
    <w:rsid w:val="0000428A"/>
    <w:rsid w:val="00004373"/>
    <w:rsid w:val="00005128"/>
    <w:rsid w:val="00005372"/>
    <w:rsid w:val="0000557E"/>
    <w:rsid w:val="0000564C"/>
    <w:rsid w:val="00005E3B"/>
    <w:rsid w:val="00006446"/>
    <w:rsid w:val="00006759"/>
    <w:rsid w:val="00006896"/>
    <w:rsid w:val="00006FB3"/>
    <w:rsid w:val="00007080"/>
    <w:rsid w:val="0000795E"/>
    <w:rsid w:val="00007CDC"/>
    <w:rsid w:val="00007EFA"/>
    <w:rsid w:val="000100A5"/>
    <w:rsid w:val="00010347"/>
    <w:rsid w:val="0001042E"/>
    <w:rsid w:val="00010C29"/>
    <w:rsid w:val="0001131C"/>
    <w:rsid w:val="00011478"/>
    <w:rsid w:val="00011B28"/>
    <w:rsid w:val="00011EF7"/>
    <w:rsid w:val="000129F5"/>
    <w:rsid w:val="00012BB0"/>
    <w:rsid w:val="00013577"/>
    <w:rsid w:val="000136DE"/>
    <w:rsid w:val="00013A04"/>
    <w:rsid w:val="00013E6E"/>
    <w:rsid w:val="00014170"/>
    <w:rsid w:val="0001488D"/>
    <w:rsid w:val="000151B0"/>
    <w:rsid w:val="0001551A"/>
    <w:rsid w:val="000159FA"/>
    <w:rsid w:val="00015A49"/>
    <w:rsid w:val="00015D15"/>
    <w:rsid w:val="00015F6A"/>
    <w:rsid w:val="0001622D"/>
    <w:rsid w:val="000162DD"/>
    <w:rsid w:val="00016868"/>
    <w:rsid w:val="00016967"/>
    <w:rsid w:val="00016C6A"/>
    <w:rsid w:val="00017282"/>
    <w:rsid w:val="00017671"/>
    <w:rsid w:val="00017D5B"/>
    <w:rsid w:val="00020185"/>
    <w:rsid w:val="00020445"/>
    <w:rsid w:val="00020B45"/>
    <w:rsid w:val="00020CCD"/>
    <w:rsid w:val="00021027"/>
    <w:rsid w:val="00021099"/>
    <w:rsid w:val="0002172B"/>
    <w:rsid w:val="00021B54"/>
    <w:rsid w:val="0002238C"/>
    <w:rsid w:val="000228D1"/>
    <w:rsid w:val="00022B0B"/>
    <w:rsid w:val="00022CA0"/>
    <w:rsid w:val="00022CD6"/>
    <w:rsid w:val="00023275"/>
    <w:rsid w:val="000233D8"/>
    <w:rsid w:val="00023719"/>
    <w:rsid w:val="00023A83"/>
    <w:rsid w:val="00023EA0"/>
    <w:rsid w:val="000240D5"/>
    <w:rsid w:val="0002445A"/>
    <w:rsid w:val="00024569"/>
    <w:rsid w:val="00024671"/>
    <w:rsid w:val="00024F8B"/>
    <w:rsid w:val="000250D3"/>
    <w:rsid w:val="0002562A"/>
    <w:rsid w:val="0002564D"/>
    <w:rsid w:val="00025861"/>
    <w:rsid w:val="00025ECA"/>
    <w:rsid w:val="0002647E"/>
    <w:rsid w:val="000264DA"/>
    <w:rsid w:val="000269D0"/>
    <w:rsid w:val="00026B32"/>
    <w:rsid w:val="00026F4C"/>
    <w:rsid w:val="00027041"/>
    <w:rsid w:val="000270E5"/>
    <w:rsid w:val="00027239"/>
    <w:rsid w:val="000273B7"/>
    <w:rsid w:val="00027E99"/>
    <w:rsid w:val="00031103"/>
    <w:rsid w:val="0003127F"/>
    <w:rsid w:val="00031383"/>
    <w:rsid w:val="00031448"/>
    <w:rsid w:val="00031477"/>
    <w:rsid w:val="00031616"/>
    <w:rsid w:val="000318A0"/>
    <w:rsid w:val="000325B8"/>
    <w:rsid w:val="0003284F"/>
    <w:rsid w:val="00033807"/>
    <w:rsid w:val="00033E1D"/>
    <w:rsid w:val="00033F1B"/>
    <w:rsid w:val="0003440C"/>
    <w:rsid w:val="0003457A"/>
    <w:rsid w:val="00034659"/>
    <w:rsid w:val="00034B1E"/>
    <w:rsid w:val="00034B36"/>
    <w:rsid w:val="00034BE5"/>
    <w:rsid w:val="00034C15"/>
    <w:rsid w:val="000355EB"/>
    <w:rsid w:val="00035999"/>
    <w:rsid w:val="000360D0"/>
    <w:rsid w:val="000360E4"/>
    <w:rsid w:val="00036BA1"/>
    <w:rsid w:val="00036C68"/>
    <w:rsid w:val="0003724C"/>
    <w:rsid w:val="00037635"/>
    <w:rsid w:val="00037B06"/>
    <w:rsid w:val="00037D5C"/>
    <w:rsid w:val="000408ED"/>
    <w:rsid w:val="00040E1E"/>
    <w:rsid w:val="00041D63"/>
    <w:rsid w:val="00041EF6"/>
    <w:rsid w:val="00042117"/>
    <w:rsid w:val="000422E2"/>
    <w:rsid w:val="000424FE"/>
    <w:rsid w:val="00042F22"/>
    <w:rsid w:val="000432C1"/>
    <w:rsid w:val="00043919"/>
    <w:rsid w:val="00043964"/>
    <w:rsid w:val="00043E85"/>
    <w:rsid w:val="00044222"/>
    <w:rsid w:val="000444EF"/>
    <w:rsid w:val="0004480B"/>
    <w:rsid w:val="00045755"/>
    <w:rsid w:val="00045D79"/>
    <w:rsid w:val="00045ECA"/>
    <w:rsid w:val="00046352"/>
    <w:rsid w:val="0004663F"/>
    <w:rsid w:val="00046946"/>
    <w:rsid w:val="000469F3"/>
    <w:rsid w:val="0004768F"/>
    <w:rsid w:val="0004775F"/>
    <w:rsid w:val="00047D6A"/>
    <w:rsid w:val="0005047E"/>
    <w:rsid w:val="0005086B"/>
    <w:rsid w:val="00050B2C"/>
    <w:rsid w:val="00050F69"/>
    <w:rsid w:val="00051D95"/>
    <w:rsid w:val="000521C3"/>
    <w:rsid w:val="0005220D"/>
    <w:rsid w:val="0005260A"/>
    <w:rsid w:val="000527E3"/>
    <w:rsid w:val="00052A07"/>
    <w:rsid w:val="0005309B"/>
    <w:rsid w:val="000534E3"/>
    <w:rsid w:val="0005375E"/>
    <w:rsid w:val="00054041"/>
    <w:rsid w:val="0005408A"/>
    <w:rsid w:val="00054509"/>
    <w:rsid w:val="000551A4"/>
    <w:rsid w:val="00055651"/>
    <w:rsid w:val="0005606A"/>
    <w:rsid w:val="00057117"/>
    <w:rsid w:val="00057629"/>
    <w:rsid w:val="00057662"/>
    <w:rsid w:val="00057868"/>
    <w:rsid w:val="00057C09"/>
    <w:rsid w:val="0006006F"/>
    <w:rsid w:val="00060B6C"/>
    <w:rsid w:val="00060C9D"/>
    <w:rsid w:val="00060F05"/>
    <w:rsid w:val="000612B7"/>
    <w:rsid w:val="00061391"/>
    <w:rsid w:val="000616E7"/>
    <w:rsid w:val="000619C1"/>
    <w:rsid w:val="00061DF9"/>
    <w:rsid w:val="00061F69"/>
    <w:rsid w:val="000625A8"/>
    <w:rsid w:val="00062D96"/>
    <w:rsid w:val="00062FC6"/>
    <w:rsid w:val="00063583"/>
    <w:rsid w:val="00063A46"/>
    <w:rsid w:val="00063A85"/>
    <w:rsid w:val="00063B6D"/>
    <w:rsid w:val="00064282"/>
    <w:rsid w:val="0006487E"/>
    <w:rsid w:val="00064F4A"/>
    <w:rsid w:val="00065E1A"/>
    <w:rsid w:val="00066357"/>
    <w:rsid w:val="00066B73"/>
    <w:rsid w:val="00066F62"/>
    <w:rsid w:val="00067187"/>
    <w:rsid w:val="0006728B"/>
    <w:rsid w:val="00067F08"/>
    <w:rsid w:val="0007012D"/>
    <w:rsid w:val="00070245"/>
    <w:rsid w:val="00070437"/>
    <w:rsid w:val="00070862"/>
    <w:rsid w:val="00071575"/>
    <w:rsid w:val="00071670"/>
    <w:rsid w:val="00071B75"/>
    <w:rsid w:val="0007278E"/>
    <w:rsid w:val="000730B2"/>
    <w:rsid w:val="0007427A"/>
    <w:rsid w:val="000743ED"/>
    <w:rsid w:val="0007447D"/>
    <w:rsid w:val="00074FE4"/>
    <w:rsid w:val="00075B9D"/>
    <w:rsid w:val="00076606"/>
    <w:rsid w:val="00077023"/>
    <w:rsid w:val="000770B3"/>
    <w:rsid w:val="000774FF"/>
    <w:rsid w:val="00077526"/>
    <w:rsid w:val="0007769D"/>
    <w:rsid w:val="00077710"/>
    <w:rsid w:val="00077E5F"/>
    <w:rsid w:val="000802D4"/>
    <w:rsid w:val="0008036A"/>
    <w:rsid w:val="00080AB4"/>
    <w:rsid w:val="00080CD9"/>
    <w:rsid w:val="0008124F"/>
    <w:rsid w:val="00081AE6"/>
    <w:rsid w:val="00081B19"/>
    <w:rsid w:val="00082773"/>
    <w:rsid w:val="00082878"/>
    <w:rsid w:val="00083B7C"/>
    <w:rsid w:val="0008461A"/>
    <w:rsid w:val="00084864"/>
    <w:rsid w:val="00084F3A"/>
    <w:rsid w:val="0008525B"/>
    <w:rsid w:val="000853BE"/>
    <w:rsid w:val="000855EB"/>
    <w:rsid w:val="00085B52"/>
    <w:rsid w:val="0008614B"/>
    <w:rsid w:val="000866F2"/>
    <w:rsid w:val="00086731"/>
    <w:rsid w:val="00086974"/>
    <w:rsid w:val="00086D67"/>
    <w:rsid w:val="0009009F"/>
    <w:rsid w:val="00090692"/>
    <w:rsid w:val="00090FC2"/>
    <w:rsid w:val="000914EC"/>
    <w:rsid w:val="00091557"/>
    <w:rsid w:val="00091857"/>
    <w:rsid w:val="000922CF"/>
    <w:rsid w:val="000924C1"/>
    <w:rsid w:val="000924F0"/>
    <w:rsid w:val="00092844"/>
    <w:rsid w:val="00092F9D"/>
    <w:rsid w:val="00093474"/>
    <w:rsid w:val="00093DA0"/>
    <w:rsid w:val="000942C7"/>
    <w:rsid w:val="000942EC"/>
    <w:rsid w:val="000947E1"/>
    <w:rsid w:val="00094D92"/>
    <w:rsid w:val="0009510F"/>
    <w:rsid w:val="0009588A"/>
    <w:rsid w:val="00095DD1"/>
    <w:rsid w:val="000964C0"/>
    <w:rsid w:val="000964E2"/>
    <w:rsid w:val="00096F2F"/>
    <w:rsid w:val="00096FD1"/>
    <w:rsid w:val="000972D3"/>
    <w:rsid w:val="000976B8"/>
    <w:rsid w:val="00097870"/>
    <w:rsid w:val="00097ABD"/>
    <w:rsid w:val="00097BD6"/>
    <w:rsid w:val="00097FB8"/>
    <w:rsid w:val="000A009B"/>
    <w:rsid w:val="000A095E"/>
    <w:rsid w:val="000A0BF5"/>
    <w:rsid w:val="000A17F9"/>
    <w:rsid w:val="000A1B7B"/>
    <w:rsid w:val="000A1E3B"/>
    <w:rsid w:val="000A267E"/>
    <w:rsid w:val="000A2806"/>
    <w:rsid w:val="000A2B66"/>
    <w:rsid w:val="000A2CBA"/>
    <w:rsid w:val="000A2D3B"/>
    <w:rsid w:val="000A2E72"/>
    <w:rsid w:val="000A33C6"/>
    <w:rsid w:val="000A3670"/>
    <w:rsid w:val="000A3A2D"/>
    <w:rsid w:val="000A3F39"/>
    <w:rsid w:val="000A4092"/>
    <w:rsid w:val="000A41A9"/>
    <w:rsid w:val="000A5642"/>
    <w:rsid w:val="000A5688"/>
    <w:rsid w:val="000A56F2"/>
    <w:rsid w:val="000A58B2"/>
    <w:rsid w:val="000A646D"/>
    <w:rsid w:val="000A6668"/>
    <w:rsid w:val="000A66F1"/>
    <w:rsid w:val="000A74BD"/>
    <w:rsid w:val="000A74D9"/>
    <w:rsid w:val="000B0094"/>
    <w:rsid w:val="000B0497"/>
    <w:rsid w:val="000B1AB4"/>
    <w:rsid w:val="000B1D54"/>
    <w:rsid w:val="000B1D72"/>
    <w:rsid w:val="000B20AB"/>
    <w:rsid w:val="000B23ED"/>
    <w:rsid w:val="000B2719"/>
    <w:rsid w:val="000B275D"/>
    <w:rsid w:val="000B2CD7"/>
    <w:rsid w:val="000B3A8F"/>
    <w:rsid w:val="000B3C82"/>
    <w:rsid w:val="000B4232"/>
    <w:rsid w:val="000B4AB9"/>
    <w:rsid w:val="000B543E"/>
    <w:rsid w:val="000B58C3"/>
    <w:rsid w:val="000B5F2C"/>
    <w:rsid w:val="000B61E9"/>
    <w:rsid w:val="000B65B5"/>
    <w:rsid w:val="000B6B72"/>
    <w:rsid w:val="000B70E0"/>
    <w:rsid w:val="000B7986"/>
    <w:rsid w:val="000B7ADD"/>
    <w:rsid w:val="000B7B36"/>
    <w:rsid w:val="000B7B66"/>
    <w:rsid w:val="000B7D4D"/>
    <w:rsid w:val="000B7F44"/>
    <w:rsid w:val="000C01A2"/>
    <w:rsid w:val="000C038B"/>
    <w:rsid w:val="000C05A4"/>
    <w:rsid w:val="000C0745"/>
    <w:rsid w:val="000C0A85"/>
    <w:rsid w:val="000C0C1A"/>
    <w:rsid w:val="000C1119"/>
    <w:rsid w:val="000C125F"/>
    <w:rsid w:val="000C1435"/>
    <w:rsid w:val="000C165A"/>
    <w:rsid w:val="000C17E2"/>
    <w:rsid w:val="000C18D0"/>
    <w:rsid w:val="000C1E12"/>
    <w:rsid w:val="000C1EEB"/>
    <w:rsid w:val="000C214C"/>
    <w:rsid w:val="000C2212"/>
    <w:rsid w:val="000C2340"/>
    <w:rsid w:val="000C2DC2"/>
    <w:rsid w:val="000C2E19"/>
    <w:rsid w:val="000C2F1A"/>
    <w:rsid w:val="000C3282"/>
    <w:rsid w:val="000C37EC"/>
    <w:rsid w:val="000C4549"/>
    <w:rsid w:val="000C45B9"/>
    <w:rsid w:val="000C476B"/>
    <w:rsid w:val="000C4D4D"/>
    <w:rsid w:val="000C4EB0"/>
    <w:rsid w:val="000C5914"/>
    <w:rsid w:val="000C5C30"/>
    <w:rsid w:val="000C6380"/>
    <w:rsid w:val="000C65F6"/>
    <w:rsid w:val="000C6654"/>
    <w:rsid w:val="000C6739"/>
    <w:rsid w:val="000C6938"/>
    <w:rsid w:val="000C70A2"/>
    <w:rsid w:val="000C717E"/>
    <w:rsid w:val="000D0432"/>
    <w:rsid w:val="000D07A0"/>
    <w:rsid w:val="000D0C97"/>
    <w:rsid w:val="000D0D07"/>
    <w:rsid w:val="000D17EC"/>
    <w:rsid w:val="000D21CA"/>
    <w:rsid w:val="000D34A0"/>
    <w:rsid w:val="000D3574"/>
    <w:rsid w:val="000D36E4"/>
    <w:rsid w:val="000D3884"/>
    <w:rsid w:val="000D4797"/>
    <w:rsid w:val="000D48D4"/>
    <w:rsid w:val="000D4C9B"/>
    <w:rsid w:val="000D4F1D"/>
    <w:rsid w:val="000D520D"/>
    <w:rsid w:val="000D550F"/>
    <w:rsid w:val="000D58F6"/>
    <w:rsid w:val="000D5D5C"/>
    <w:rsid w:val="000D5FB9"/>
    <w:rsid w:val="000D6BB3"/>
    <w:rsid w:val="000D6E84"/>
    <w:rsid w:val="000D6F74"/>
    <w:rsid w:val="000D6FB0"/>
    <w:rsid w:val="000D73C1"/>
    <w:rsid w:val="000E0288"/>
    <w:rsid w:val="000E0527"/>
    <w:rsid w:val="000E0967"/>
    <w:rsid w:val="000E0A37"/>
    <w:rsid w:val="000E0FF2"/>
    <w:rsid w:val="000E135B"/>
    <w:rsid w:val="000E1D63"/>
    <w:rsid w:val="000E1E92"/>
    <w:rsid w:val="000E2162"/>
    <w:rsid w:val="000E22CB"/>
    <w:rsid w:val="000E25AE"/>
    <w:rsid w:val="000E2EF3"/>
    <w:rsid w:val="000E37BC"/>
    <w:rsid w:val="000E39E1"/>
    <w:rsid w:val="000E45ED"/>
    <w:rsid w:val="000E4D8A"/>
    <w:rsid w:val="000E4DF1"/>
    <w:rsid w:val="000E5329"/>
    <w:rsid w:val="000E5502"/>
    <w:rsid w:val="000E5689"/>
    <w:rsid w:val="000E56B4"/>
    <w:rsid w:val="000E6CC1"/>
    <w:rsid w:val="000E70ED"/>
    <w:rsid w:val="000E7746"/>
    <w:rsid w:val="000E7882"/>
    <w:rsid w:val="000E7CB9"/>
    <w:rsid w:val="000F03C7"/>
    <w:rsid w:val="000F06D6"/>
    <w:rsid w:val="000F08B6"/>
    <w:rsid w:val="000F0CEB"/>
    <w:rsid w:val="000F0E61"/>
    <w:rsid w:val="000F0EB1"/>
    <w:rsid w:val="000F1106"/>
    <w:rsid w:val="000F12AF"/>
    <w:rsid w:val="000F130A"/>
    <w:rsid w:val="000F1CFC"/>
    <w:rsid w:val="000F245C"/>
    <w:rsid w:val="000F27F0"/>
    <w:rsid w:val="000F2C05"/>
    <w:rsid w:val="000F2EF7"/>
    <w:rsid w:val="000F306D"/>
    <w:rsid w:val="000F32AE"/>
    <w:rsid w:val="000F38E8"/>
    <w:rsid w:val="000F3A17"/>
    <w:rsid w:val="000F3BE9"/>
    <w:rsid w:val="000F3F6C"/>
    <w:rsid w:val="000F3FC4"/>
    <w:rsid w:val="000F49A3"/>
    <w:rsid w:val="000F4B67"/>
    <w:rsid w:val="000F5525"/>
    <w:rsid w:val="000F559B"/>
    <w:rsid w:val="000F56DC"/>
    <w:rsid w:val="000F6A20"/>
    <w:rsid w:val="000F6DF3"/>
    <w:rsid w:val="000F6EDC"/>
    <w:rsid w:val="000F6F89"/>
    <w:rsid w:val="000F71F4"/>
    <w:rsid w:val="000F79D6"/>
    <w:rsid w:val="000F7C63"/>
    <w:rsid w:val="001005FF"/>
    <w:rsid w:val="001006C0"/>
    <w:rsid w:val="001008FA"/>
    <w:rsid w:val="00100D19"/>
    <w:rsid w:val="001011F5"/>
    <w:rsid w:val="00101696"/>
    <w:rsid w:val="0010175C"/>
    <w:rsid w:val="00101CDC"/>
    <w:rsid w:val="00101E7F"/>
    <w:rsid w:val="001024DE"/>
    <w:rsid w:val="001028F6"/>
    <w:rsid w:val="00102B62"/>
    <w:rsid w:val="0010333D"/>
    <w:rsid w:val="001035A9"/>
    <w:rsid w:val="00103C42"/>
    <w:rsid w:val="00103D04"/>
    <w:rsid w:val="00103F46"/>
    <w:rsid w:val="00104286"/>
    <w:rsid w:val="0010430C"/>
    <w:rsid w:val="00104480"/>
    <w:rsid w:val="0010528C"/>
    <w:rsid w:val="00105FC3"/>
    <w:rsid w:val="00106294"/>
    <w:rsid w:val="001062FB"/>
    <w:rsid w:val="001063E6"/>
    <w:rsid w:val="001069CB"/>
    <w:rsid w:val="00106FB9"/>
    <w:rsid w:val="001073DE"/>
    <w:rsid w:val="0010778E"/>
    <w:rsid w:val="00107A83"/>
    <w:rsid w:val="00107FD7"/>
    <w:rsid w:val="00110563"/>
    <w:rsid w:val="001106DD"/>
    <w:rsid w:val="00111731"/>
    <w:rsid w:val="00111906"/>
    <w:rsid w:val="001119DA"/>
    <w:rsid w:val="00111FB8"/>
    <w:rsid w:val="00111FF3"/>
    <w:rsid w:val="00112161"/>
    <w:rsid w:val="001121D3"/>
    <w:rsid w:val="0011290F"/>
    <w:rsid w:val="00113756"/>
    <w:rsid w:val="001138F1"/>
    <w:rsid w:val="00113CF4"/>
    <w:rsid w:val="00113EEF"/>
    <w:rsid w:val="00113F4C"/>
    <w:rsid w:val="00114222"/>
    <w:rsid w:val="00114226"/>
    <w:rsid w:val="00114CF6"/>
    <w:rsid w:val="001153EA"/>
    <w:rsid w:val="00115514"/>
    <w:rsid w:val="00115643"/>
    <w:rsid w:val="00116002"/>
    <w:rsid w:val="001164D2"/>
    <w:rsid w:val="00116765"/>
    <w:rsid w:val="00116940"/>
    <w:rsid w:val="00116F20"/>
    <w:rsid w:val="00117062"/>
    <w:rsid w:val="001170E6"/>
    <w:rsid w:val="00117184"/>
    <w:rsid w:val="00117483"/>
    <w:rsid w:val="0011752C"/>
    <w:rsid w:val="00117E5F"/>
    <w:rsid w:val="00120108"/>
    <w:rsid w:val="00120689"/>
    <w:rsid w:val="00120BDF"/>
    <w:rsid w:val="00120C89"/>
    <w:rsid w:val="00120EEF"/>
    <w:rsid w:val="00121702"/>
    <w:rsid w:val="001219F5"/>
    <w:rsid w:val="00121A20"/>
    <w:rsid w:val="00122F45"/>
    <w:rsid w:val="00122FC6"/>
    <w:rsid w:val="0012331B"/>
    <w:rsid w:val="001233EC"/>
    <w:rsid w:val="0012377F"/>
    <w:rsid w:val="0012398F"/>
    <w:rsid w:val="00123E07"/>
    <w:rsid w:val="00123E60"/>
    <w:rsid w:val="00124314"/>
    <w:rsid w:val="00124756"/>
    <w:rsid w:val="001247F1"/>
    <w:rsid w:val="00124D3A"/>
    <w:rsid w:val="00125274"/>
    <w:rsid w:val="0012532D"/>
    <w:rsid w:val="00125688"/>
    <w:rsid w:val="00125BC2"/>
    <w:rsid w:val="00125C27"/>
    <w:rsid w:val="00126597"/>
    <w:rsid w:val="00126B4A"/>
    <w:rsid w:val="00126D6C"/>
    <w:rsid w:val="0012716D"/>
    <w:rsid w:val="00127785"/>
    <w:rsid w:val="00127E13"/>
    <w:rsid w:val="00130CAE"/>
    <w:rsid w:val="00130F4C"/>
    <w:rsid w:val="00131179"/>
    <w:rsid w:val="0013124F"/>
    <w:rsid w:val="001315D6"/>
    <w:rsid w:val="0013197B"/>
    <w:rsid w:val="00132CF5"/>
    <w:rsid w:val="00132FD0"/>
    <w:rsid w:val="001339B5"/>
    <w:rsid w:val="001344C0"/>
    <w:rsid w:val="001346FA"/>
    <w:rsid w:val="00135219"/>
    <w:rsid w:val="00135252"/>
    <w:rsid w:val="00136F86"/>
    <w:rsid w:val="00137AB5"/>
    <w:rsid w:val="00137D97"/>
    <w:rsid w:val="00137F0B"/>
    <w:rsid w:val="00140107"/>
    <w:rsid w:val="001402DE"/>
    <w:rsid w:val="001404E4"/>
    <w:rsid w:val="00140900"/>
    <w:rsid w:val="00141488"/>
    <w:rsid w:val="00141569"/>
    <w:rsid w:val="0014288B"/>
    <w:rsid w:val="00142D50"/>
    <w:rsid w:val="00142FEC"/>
    <w:rsid w:val="0014378E"/>
    <w:rsid w:val="00143E30"/>
    <w:rsid w:val="00143F0D"/>
    <w:rsid w:val="001441A8"/>
    <w:rsid w:val="00144669"/>
    <w:rsid w:val="001449EF"/>
    <w:rsid w:val="001449F3"/>
    <w:rsid w:val="00144B6E"/>
    <w:rsid w:val="001452C5"/>
    <w:rsid w:val="00145391"/>
    <w:rsid w:val="001457AD"/>
    <w:rsid w:val="00145A92"/>
    <w:rsid w:val="00145EF4"/>
    <w:rsid w:val="00146294"/>
    <w:rsid w:val="0014752C"/>
    <w:rsid w:val="00147999"/>
    <w:rsid w:val="00147A08"/>
    <w:rsid w:val="00147A6A"/>
    <w:rsid w:val="00147DD5"/>
    <w:rsid w:val="00147E19"/>
    <w:rsid w:val="00150713"/>
    <w:rsid w:val="00150944"/>
    <w:rsid w:val="001512A0"/>
    <w:rsid w:val="00151417"/>
    <w:rsid w:val="00151A23"/>
    <w:rsid w:val="00151ADE"/>
    <w:rsid w:val="00151E23"/>
    <w:rsid w:val="00152104"/>
    <w:rsid w:val="001526E0"/>
    <w:rsid w:val="001529D3"/>
    <w:rsid w:val="0015393C"/>
    <w:rsid w:val="0015397F"/>
    <w:rsid w:val="00153B8C"/>
    <w:rsid w:val="001544A1"/>
    <w:rsid w:val="001548FB"/>
    <w:rsid w:val="00154AF4"/>
    <w:rsid w:val="001551B5"/>
    <w:rsid w:val="0015536E"/>
    <w:rsid w:val="001554EB"/>
    <w:rsid w:val="001557EF"/>
    <w:rsid w:val="0015591A"/>
    <w:rsid w:val="00155CC9"/>
    <w:rsid w:val="00155D0C"/>
    <w:rsid w:val="00155D2E"/>
    <w:rsid w:val="00155DED"/>
    <w:rsid w:val="00156379"/>
    <w:rsid w:val="00156BBE"/>
    <w:rsid w:val="00156BF0"/>
    <w:rsid w:val="00156F95"/>
    <w:rsid w:val="00157478"/>
    <w:rsid w:val="001578A5"/>
    <w:rsid w:val="00157AD2"/>
    <w:rsid w:val="00157C71"/>
    <w:rsid w:val="00157CA4"/>
    <w:rsid w:val="00157FFE"/>
    <w:rsid w:val="001606D4"/>
    <w:rsid w:val="00161647"/>
    <w:rsid w:val="00161AD9"/>
    <w:rsid w:val="00161ADC"/>
    <w:rsid w:val="00161B2A"/>
    <w:rsid w:val="00161CD7"/>
    <w:rsid w:val="00162B6F"/>
    <w:rsid w:val="00162B7B"/>
    <w:rsid w:val="00162C03"/>
    <w:rsid w:val="00162E3D"/>
    <w:rsid w:val="001632CB"/>
    <w:rsid w:val="00163539"/>
    <w:rsid w:val="001638B5"/>
    <w:rsid w:val="00163937"/>
    <w:rsid w:val="00163965"/>
    <w:rsid w:val="00163C19"/>
    <w:rsid w:val="00163EC4"/>
    <w:rsid w:val="00164473"/>
    <w:rsid w:val="0016451B"/>
    <w:rsid w:val="00164F6D"/>
    <w:rsid w:val="00165108"/>
    <w:rsid w:val="001651D1"/>
    <w:rsid w:val="00165219"/>
    <w:rsid w:val="001654DE"/>
    <w:rsid w:val="0016555A"/>
    <w:rsid w:val="00165566"/>
    <w:rsid w:val="001657BF"/>
    <w:rsid w:val="0016580C"/>
    <w:rsid w:val="00165909"/>
    <w:rsid w:val="001659C1"/>
    <w:rsid w:val="00165CB5"/>
    <w:rsid w:val="0016636F"/>
    <w:rsid w:val="00166640"/>
    <w:rsid w:val="00166692"/>
    <w:rsid w:val="00166863"/>
    <w:rsid w:val="001669FA"/>
    <w:rsid w:val="00166C94"/>
    <w:rsid w:val="00166E29"/>
    <w:rsid w:val="00167801"/>
    <w:rsid w:val="001678B4"/>
    <w:rsid w:val="00167B8A"/>
    <w:rsid w:val="00167E14"/>
    <w:rsid w:val="00167FFC"/>
    <w:rsid w:val="0017035B"/>
    <w:rsid w:val="0017042C"/>
    <w:rsid w:val="00170540"/>
    <w:rsid w:val="00170BF0"/>
    <w:rsid w:val="00170F61"/>
    <w:rsid w:val="0017131D"/>
    <w:rsid w:val="001717AF"/>
    <w:rsid w:val="00171D9B"/>
    <w:rsid w:val="00171F55"/>
    <w:rsid w:val="00172648"/>
    <w:rsid w:val="00172D81"/>
    <w:rsid w:val="0017354E"/>
    <w:rsid w:val="00173A8E"/>
    <w:rsid w:val="00174367"/>
    <w:rsid w:val="001745EC"/>
    <w:rsid w:val="00174E69"/>
    <w:rsid w:val="0017502C"/>
    <w:rsid w:val="00175843"/>
    <w:rsid w:val="00175947"/>
    <w:rsid w:val="00175A3A"/>
    <w:rsid w:val="00176290"/>
    <w:rsid w:val="001769AE"/>
    <w:rsid w:val="00176BE9"/>
    <w:rsid w:val="00176CAB"/>
    <w:rsid w:val="001771D6"/>
    <w:rsid w:val="00177AC5"/>
    <w:rsid w:val="00180D83"/>
    <w:rsid w:val="00180F42"/>
    <w:rsid w:val="00181188"/>
    <w:rsid w:val="0018143F"/>
    <w:rsid w:val="00181641"/>
    <w:rsid w:val="00181AB1"/>
    <w:rsid w:val="00181C9F"/>
    <w:rsid w:val="00181FF8"/>
    <w:rsid w:val="0018251A"/>
    <w:rsid w:val="00182704"/>
    <w:rsid w:val="00183741"/>
    <w:rsid w:val="00183AE0"/>
    <w:rsid w:val="001841D5"/>
    <w:rsid w:val="00184662"/>
    <w:rsid w:val="00184F37"/>
    <w:rsid w:val="001852A0"/>
    <w:rsid w:val="00186711"/>
    <w:rsid w:val="00186E1D"/>
    <w:rsid w:val="001871F3"/>
    <w:rsid w:val="00187C50"/>
    <w:rsid w:val="001907C4"/>
    <w:rsid w:val="00190AC1"/>
    <w:rsid w:val="00190DFD"/>
    <w:rsid w:val="0019104F"/>
    <w:rsid w:val="0019181D"/>
    <w:rsid w:val="00191FBC"/>
    <w:rsid w:val="001922A8"/>
    <w:rsid w:val="001925A8"/>
    <w:rsid w:val="001927C0"/>
    <w:rsid w:val="00192F86"/>
    <w:rsid w:val="001932D0"/>
    <w:rsid w:val="0019341A"/>
    <w:rsid w:val="001934B5"/>
    <w:rsid w:val="0019387F"/>
    <w:rsid w:val="001939DC"/>
    <w:rsid w:val="00193F02"/>
    <w:rsid w:val="0019404D"/>
    <w:rsid w:val="00194BCA"/>
    <w:rsid w:val="00194F85"/>
    <w:rsid w:val="00196006"/>
    <w:rsid w:val="00196257"/>
    <w:rsid w:val="00196296"/>
    <w:rsid w:val="0019652F"/>
    <w:rsid w:val="00197014"/>
    <w:rsid w:val="00197DF9"/>
    <w:rsid w:val="001A010A"/>
    <w:rsid w:val="001A0651"/>
    <w:rsid w:val="001A0668"/>
    <w:rsid w:val="001A08F6"/>
    <w:rsid w:val="001A09B4"/>
    <w:rsid w:val="001A15BA"/>
    <w:rsid w:val="001A1987"/>
    <w:rsid w:val="001A2097"/>
    <w:rsid w:val="001A2564"/>
    <w:rsid w:val="001A259D"/>
    <w:rsid w:val="001A2EA3"/>
    <w:rsid w:val="001A2F78"/>
    <w:rsid w:val="001A3392"/>
    <w:rsid w:val="001A35D4"/>
    <w:rsid w:val="001A3C80"/>
    <w:rsid w:val="001A466A"/>
    <w:rsid w:val="001A498C"/>
    <w:rsid w:val="001A49CA"/>
    <w:rsid w:val="001A51DA"/>
    <w:rsid w:val="001A57B2"/>
    <w:rsid w:val="001A6173"/>
    <w:rsid w:val="001A677E"/>
    <w:rsid w:val="001A68A3"/>
    <w:rsid w:val="001A6CBA"/>
    <w:rsid w:val="001A6EBF"/>
    <w:rsid w:val="001A6FDB"/>
    <w:rsid w:val="001A718C"/>
    <w:rsid w:val="001B00CD"/>
    <w:rsid w:val="001B034D"/>
    <w:rsid w:val="001B07DB"/>
    <w:rsid w:val="001B0C4F"/>
    <w:rsid w:val="001B0D13"/>
    <w:rsid w:val="001B0D97"/>
    <w:rsid w:val="001B14B8"/>
    <w:rsid w:val="001B1516"/>
    <w:rsid w:val="001B183C"/>
    <w:rsid w:val="001B2042"/>
    <w:rsid w:val="001B2217"/>
    <w:rsid w:val="001B2D16"/>
    <w:rsid w:val="001B301A"/>
    <w:rsid w:val="001B30D7"/>
    <w:rsid w:val="001B3412"/>
    <w:rsid w:val="001B383E"/>
    <w:rsid w:val="001B3B12"/>
    <w:rsid w:val="001B3CBF"/>
    <w:rsid w:val="001B3D7B"/>
    <w:rsid w:val="001B40B8"/>
    <w:rsid w:val="001B47F2"/>
    <w:rsid w:val="001B4AFF"/>
    <w:rsid w:val="001B4CAB"/>
    <w:rsid w:val="001B59B1"/>
    <w:rsid w:val="001B5A5D"/>
    <w:rsid w:val="001B5A78"/>
    <w:rsid w:val="001B5AA5"/>
    <w:rsid w:val="001B5DDB"/>
    <w:rsid w:val="001B5E7A"/>
    <w:rsid w:val="001B6567"/>
    <w:rsid w:val="001B6585"/>
    <w:rsid w:val="001B6664"/>
    <w:rsid w:val="001B66A9"/>
    <w:rsid w:val="001B67EA"/>
    <w:rsid w:val="001B6E23"/>
    <w:rsid w:val="001B72AE"/>
    <w:rsid w:val="001B74A8"/>
    <w:rsid w:val="001B7757"/>
    <w:rsid w:val="001B794F"/>
    <w:rsid w:val="001B7BF0"/>
    <w:rsid w:val="001B7C72"/>
    <w:rsid w:val="001C02A0"/>
    <w:rsid w:val="001C1CE5"/>
    <w:rsid w:val="001C1DCD"/>
    <w:rsid w:val="001C1FB1"/>
    <w:rsid w:val="001C2069"/>
    <w:rsid w:val="001C2496"/>
    <w:rsid w:val="001C24FB"/>
    <w:rsid w:val="001C3B31"/>
    <w:rsid w:val="001C3CF9"/>
    <w:rsid w:val="001C3D2A"/>
    <w:rsid w:val="001C4057"/>
    <w:rsid w:val="001C4C4A"/>
    <w:rsid w:val="001C5388"/>
    <w:rsid w:val="001C5954"/>
    <w:rsid w:val="001C5AD1"/>
    <w:rsid w:val="001C5ADB"/>
    <w:rsid w:val="001C5D10"/>
    <w:rsid w:val="001C618C"/>
    <w:rsid w:val="001C63A3"/>
    <w:rsid w:val="001C6663"/>
    <w:rsid w:val="001C6D34"/>
    <w:rsid w:val="001C6D3B"/>
    <w:rsid w:val="001C6EEB"/>
    <w:rsid w:val="001C71AE"/>
    <w:rsid w:val="001C733C"/>
    <w:rsid w:val="001C75D7"/>
    <w:rsid w:val="001C7761"/>
    <w:rsid w:val="001C7E0A"/>
    <w:rsid w:val="001C7E8D"/>
    <w:rsid w:val="001C7F00"/>
    <w:rsid w:val="001D029C"/>
    <w:rsid w:val="001D0775"/>
    <w:rsid w:val="001D0C89"/>
    <w:rsid w:val="001D100B"/>
    <w:rsid w:val="001D1484"/>
    <w:rsid w:val="001D1EAA"/>
    <w:rsid w:val="001D21D6"/>
    <w:rsid w:val="001D2383"/>
    <w:rsid w:val="001D2524"/>
    <w:rsid w:val="001D27F5"/>
    <w:rsid w:val="001D294C"/>
    <w:rsid w:val="001D31F5"/>
    <w:rsid w:val="001D34D2"/>
    <w:rsid w:val="001D3A5D"/>
    <w:rsid w:val="001D3C1B"/>
    <w:rsid w:val="001D3DBD"/>
    <w:rsid w:val="001D41EB"/>
    <w:rsid w:val="001D42D5"/>
    <w:rsid w:val="001D4794"/>
    <w:rsid w:val="001D489F"/>
    <w:rsid w:val="001D4D34"/>
    <w:rsid w:val="001D51BA"/>
    <w:rsid w:val="001D52BC"/>
    <w:rsid w:val="001D53E7"/>
    <w:rsid w:val="001D53EF"/>
    <w:rsid w:val="001D551C"/>
    <w:rsid w:val="001D55C3"/>
    <w:rsid w:val="001D5B80"/>
    <w:rsid w:val="001D5BFE"/>
    <w:rsid w:val="001D6193"/>
    <w:rsid w:val="001D624D"/>
    <w:rsid w:val="001D6342"/>
    <w:rsid w:val="001D640E"/>
    <w:rsid w:val="001D6A20"/>
    <w:rsid w:val="001D6D53"/>
    <w:rsid w:val="001D6DAA"/>
    <w:rsid w:val="001D6FE4"/>
    <w:rsid w:val="001D7108"/>
    <w:rsid w:val="001D7AEB"/>
    <w:rsid w:val="001D7E2F"/>
    <w:rsid w:val="001E0195"/>
    <w:rsid w:val="001E02A7"/>
    <w:rsid w:val="001E02B7"/>
    <w:rsid w:val="001E0671"/>
    <w:rsid w:val="001E0C02"/>
    <w:rsid w:val="001E1407"/>
    <w:rsid w:val="001E18B3"/>
    <w:rsid w:val="001E1E53"/>
    <w:rsid w:val="001E1EB4"/>
    <w:rsid w:val="001E22A5"/>
    <w:rsid w:val="001E25EF"/>
    <w:rsid w:val="001E26BA"/>
    <w:rsid w:val="001E2C0C"/>
    <w:rsid w:val="001E3B0A"/>
    <w:rsid w:val="001E3E95"/>
    <w:rsid w:val="001E4650"/>
    <w:rsid w:val="001E4A68"/>
    <w:rsid w:val="001E4F1A"/>
    <w:rsid w:val="001E5288"/>
    <w:rsid w:val="001E52B8"/>
    <w:rsid w:val="001E552C"/>
    <w:rsid w:val="001E565D"/>
    <w:rsid w:val="001E58E2"/>
    <w:rsid w:val="001E5B2A"/>
    <w:rsid w:val="001E6166"/>
    <w:rsid w:val="001E69C4"/>
    <w:rsid w:val="001E6AB7"/>
    <w:rsid w:val="001E6EDF"/>
    <w:rsid w:val="001E72BA"/>
    <w:rsid w:val="001E7AED"/>
    <w:rsid w:val="001E7FC1"/>
    <w:rsid w:val="001F0CFD"/>
    <w:rsid w:val="001F1358"/>
    <w:rsid w:val="001F1413"/>
    <w:rsid w:val="001F1613"/>
    <w:rsid w:val="001F1885"/>
    <w:rsid w:val="001F1ABE"/>
    <w:rsid w:val="001F1D2C"/>
    <w:rsid w:val="001F2267"/>
    <w:rsid w:val="001F265A"/>
    <w:rsid w:val="001F27F3"/>
    <w:rsid w:val="001F2898"/>
    <w:rsid w:val="001F2DF4"/>
    <w:rsid w:val="001F3916"/>
    <w:rsid w:val="001F3CA5"/>
    <w:rsid w:val="001F47C4"/>
    <w:rsid w:val="001F4B24"/>
    <w:rsid w:val="001F4BF2"/>
    <w:rsid w:val="001F4C2F"/>
    <w:rsid w:val="001F4DB2"/>
    <w:rsid w:val="001F54C5"/>
    <w:rsid w:val="001F619E"/>
    <w:rsid w:val="001F662C"/>
    <w:rsid w:val="001F66EF"/>
    <w:rsid w:val="001F7074"/>
    <w:rsid w:val="001F735E"/>
    <w:rsid w:val="001F7398"/>
    <w:rsid w:val="001F77B7"/>
    <w:rsid w:val="002001F5"/>
    <w:rsid w:val="00200490"/>
    <w:rsid w:val="00200907"/>
    <w:rsid w:val="00200D12"/>
    <w:rsid w:val="00201681"/>
    <w:rsid w:val="00201ED7"/>
    <w:rsid w:val="00201F3A"/>
    <w:rsid w:val="00202238"/>
    <w:rsid w:val="00202243"/>
    <w:rsid w:val="00202679"/>
    <w:rsid w:val="00202B34"/>
    <w:rsid w:val="00202E0F"/>
    <w:rsid w:val="00202F66"/>
    <w:rsid w:val="00203457"/>
    <w:rsid w:val="00203BF1"/>
    <w:rsid w:val="00203F96"/>
    <w:rsid w:val="00204EBC"/>
    <w:rsid w:val="00204F4E"/>
    <w:rsid w:val="00205169"/>
    <w:rsid w:val="002054CB"/>
    <w:rsid w:val="00205606"/>
    <w:rsid w:val="00205744"/>
    <w:rsid w:val="002069B2"/>
    <w:rsid w:val="00206B5C"/>
    <w:rsid w:val="00206E90"/>
    <w:rsid w:val="00207B7F"/>
    <w:rsid w:val="00207D71"/>
    <w:rsid w:val="00207FA3"/>
    <w:rsid w:val="002103AA"/>
    <w:rsid w:val="0021062D"/>
    <w:rsid w:val="0021170F"/>
    <w:rsid w:val="00211A5D"/>
    <w:rsid w:val="00212186"/>
    <w:rsid w:val="0021278F"/>
    <w:rsid w:val="00212941"/>
    <w:rsid w:val="002132BD"/>
    <w:rsid w:val="002133BE"/>
    <w:rsid w:val="002136A3"/>
    <w:rsid w:val="00213930"/>
    <w:rsid w:val="00214D30"/>
    <w:rsid w:val="00214DA8"/>
    <w:rsid w:val="00214FCF"/>
    <w:rsid w:val="00215423"/>
    <w:rsid w:val="00215752"/>
    <w:rsid w:val="002158FA"/>
    <w:rsid w:val="00215D44"/>
    <w:rsid w:val="00216381"/>
    <w:rsid w:val="00216393"/>
    <w:rsid w:val="00216824"/>
    <w:rsid w:val="00216895"/>
    <w:rsid w:val="00217821"/>
    <w:rsid w:val="002178D3"/>
    <w:rsid w:val="00220600"/>
    <w:rsid w:val="00221491"/>
    <w:rsid w:val="002215A9"/>
    <w:rsid w:val="0022193A"/>
    <w:rsid w:val="00221BFC"/>
    <w:rsid w:val="00221EA6"/>
    <w:rsid w:val="00221FDF"/>
    <w:rsid w:val="002221E1"/>
    <w:rsid w:val="002221F7"/>
    <w:rsid w:val="002224DB"/>
    <w:rsid w:val="0022255F"/>
    <w:rsid w:val="00222B88"/>
    <w:rsid w:val="00222F67"/>
    <w:rsid w:val="0022361D"/>
    <w:rsid w:val="00223709"/>
    <w:rsid w:val="00223E3E"/>
    <w:rsid w:val="00223FCB"/>
    <w:rsid w:val="00224968"/>
    <w:rsid w:val="00225236"/>
    <w:rsid w:val="002252C3"/>
    <w:rsid w:val="002253B6"/>
    <w:rsid w:val="002253F6"/>
    <w:rsid w:val="0022540C"/>
    <w:rsid w:val="002254EF"/>
    <w:rsid w:val="00225C54"/>
    <w:rsid w:val="00225E34"/>
    <w:rsid w:val="0022669D"/>
    <w:rsid w:val="00226837"/>
    <w:rsid w:val="00226861"/>
    <w:rsid w:val="002268AC"/>
    <w:rsid w:val="00226BF4"/>
    <w:rsid w:val="002279F7"/>
    <w:rsid w:val="002303E5"/>
    <w:rsid w:val="0023040E"/>
    <w:rsid w:val="002304AD"/>
    <w:rsid w:val="0023055E"/>
    <w:rsid w:val="00230765"/>
    <w:rsid w:val="002308EA"/>
    <w:rsid w:val="002309E0"/>
    <w:rsid w:val="00230D18"/>
    <w:rsid w:val="002317BC"/>
    <w:rsid w:val="002319E4"/>
    <w:rsid w:val="00232D26"/>
    <w:rsid w:val="00233132"/>
    <w:rsid w:val="00233246"/>
    <w:rsid w:val="002334D0"/>
    <w:rsid w:val="002336F8"/>
    <w:rsid w:val="002340A8"/>
    <w:rsid w:val="00234484"/>
    <w:rsid w:val="002344C1"/>
    <w:rsid w:val="00234C5B"/>
    <w:rsid w:val="00235332"/>
    <w:rsid w:val="0023544B"/>
    <w:rsid w:val="002354FB"/>
    <w:rsid w:val="00235568"/>
    <w:rsid w:val="00235632"/>
    <w:rsid w:val="0023586B"/>
    <w:rsid w:val="00235872"/>
    <w:rsid w:val="00235CD7"/>
    <w:rsid w:val="00235E72"/>
    <w:rsid w:val="00235EB2"/>
    <w:rsid w:val="00236287"/>
    <w:rsid w:val="00236653"/>
    <w:rsid w:val="002371EF"/>
    <w:rsid w:val="0023754E"/>
    <w:rsid w:val="0023768B"/>
    <w:rsid w:val="00237AF4"/>
    <w:rsid w:val="00237ECE"/>
    <w:rsid w:val="00240564"/>
    <w:rsid w:val="00240E1B"/>
    <w:rsid w:val="00241082"/>
    <w:rsid w:val="0024137C"/>
    <w:rsid w:val="0024140C"/>
    <w:rsid w:val="00241449"/>
    <w:rsid w:val="0024146A"/>
    <w:rsid w:val="00241539"/>
    <w:rsid w:val="00241559"/>
    <w:rsid w:val="00242158"/>
    <w:rsid w:val="0024273F"/>
    <w:rsid w:val="00242893"/>
    <w:rsid w:val="0024291A"/>
    <w:rsid w:val="00242964"/>
    <w:rsid w:val="00242BB3"/>
    <w:rsid w:val="00242E65"/>
    <w:rsid w:val="00242F0A"/>
    <w:rsid w:val="00242F32"/>
    <w:rsid w:val="00242FA5"/>
    <w:rsid w:val="00243308"/>
    <w:rsid w:val="0024356E"/>
    <w:rsid w:val="002435B3"/>
    <w:rsid w:val="00243D3F"/>
    <w:rsid w:val="00243D4D"/>
    <w:rsid w:val="002443E8"/>
    <w:rsid w:val="00244BA9"/>
    <w:rsid w:val="00245456"/>
    <w:rsid w:val="002458EB"/>
    <w:rsid w:val="00245905"/>
    <w:rsid w:val="0024627F"/>
    <w:rsid w:val="00246284"/>
    <w:rsid w:val="00246296"/>
    <w:rsid w:val="002476CA"/>
    <w:rsid w:val="002477BC"/>
    <w:rsid w:val="00247C74"/>
    <w:rsid w:val="002500C8"/>
    <w:rsid w:val="00250570"/>
    <w:rsid w:val="00250A5F"/>
    <w:rsid w:val="00251438"/>
    <w:rsid w:val="00251B1D"/>
    <w:rsid w:val="00251CE7"/>
    <w:rsid w:val="00251F50"/>
    <w:rsid w:val="00252406"/>
    <w:rsid w:val="00252DE6"/>
    <w:rsid w:val="00252F57"/>
    <w:rsid w:val="0025349D"/>
    <w:rsid w:val="0025376E"/>
    <w:rsid w:val="0025380C"/>
    <w:rsid w:val="00254004"/>
    <w:rsid w:val="0025424A"/>
    <w:rsid w:val="0025473C"/>
    <w:rsid w:val="00255029"/>
    <w:rsid w:val="00255376"/>
    <w:rsid w:val="00255A3A"/>
    <w:rsid w:val="002563DE"/>
    <w:rsid w:val="0025680A"/>
    <w:rsid w:val="00256B1B"/>
    <w:rsid w:val="00256C48"/>
    <w:rsid w:val="00256F10"/>
    <w:rsid w:val="00257109"/>
    <w:rsid w:val="00257192"/>
    <w:rsid w:val="00257198"/>
    <w:rsid w:val="00257310"/>
    <w:rsid w:val="00257543"/>
    <w:rsid w:val="00257BFE"/>
    <w:rsid w:val="00257CEB"/>
    <w:rsid w:val="002601CF"/>
    <w:rsid w:val="00260596"/>
    <w:rsid w:val="0026067A"/>
    <w:rsid w:val="002607AA"/>
    <w:rsid w:val="002617E7"/>
    <w:rsid w:val="002618D1"/>
    <w:rsid w:val="00261B2F"/>
    <w:rsid w:val="00261ECD"/>
    <w:rsid w:val="00262553"/>
    <w:rsid w:val="00262610"/>
    <w:rsid w:val="00262725"/>
    <w:rsid w:val="00262A05"/>
    <w:rsid w:val="00262A7B"/>
    <w:rsid w:val="00263AA9"/>
    <w:rsid w:val="00264228"/>
    <w:rsid w:val="00264334"/>
    <w:rsid w:val="0026473E"/>
    <w:rsid w:val="00264807"/>
    <w:rsid w:val="00265231"/>
    <w:rsid w:val="002657DB"/>
    <w:rsid w:val="00266214"/>
    <w:rsid w:val="0026707F"/>
    <w:rsid w:val="00267151"/>
    <w:rsid w:val="00267355"/>
    <w:rsid w:val="002677C9"/>
    <w:rsid w:val="00267A3F"/>
    <w:rsid w:val="00267A85"/>
    <w:rsid w:val="00267C83"/>
    <w:rsid w:val="00267E2C"/>
    <w:rsid w:val="002706ED"/>
    <w:rsid w:val="00270B15"/>
    <w:rsid w:val="00270F31"/>
    <w:rsid w:val="0027144F"/>
    <w:rsid w:val="00271813"/>
    <w:rsid w:val="00271E50"/>
    <w:rsid w:val="00271F3A"/>
    <w:rsid w:val="00272935"/>
    <w:rsid w:val="00272B79"/>
    <w:rsid w:val="0027315E"/>
    <w:rsid w:val="00273278"/>
    <w:rsid w:val="00273643"/>
    <w:rsid w:val="002737A1"/>
    <w:rsid w:val="002737F4"/>
    <w:rsid w:val="002740D5"/>
    <w:rsid w:val="0027423C"/>
    <w:rsid w:val="0027439C"/>
    <w:rsid w:val="002746F3"/>
    <w:rsid w:val="00274B7B"/>
    <w:rsid w:val="00275131"/>
    <w:rsid w:val="002762A2"/>
    <w:rsid w:val="00276A1C"/>
    <w:rsid w:val="00277B28"/>
    <w:rsid w:val="00277BBD"/>
    <w:rsid w:val="00280100"/>
    <w:rsid w:val="002805F5"/>
    <w:rsid w:val="00280731"/>
    <w:rsid w:val="00280751"/>
    <w:rsid w:val="002809A1"/>
    <w:rsid w:val="002810E3"/>
    <w:rsid w:val="002816C5"/>
    <w:rsid w:val="00281BEB"/>
    <w:rsid w:val="00281EA2"/>
    <w:rsid w:val="00281F85"/>
    <w:rsid w:val="0028212D"/>
    <w:rsid w:val="0028280A"/>
    <w:rsid w:val="00282B1B"/>
    <w:rsid w:val="00282BD6"/>
    <w:rsid w:val="00282C61"/>
    <w:rsid w:val="00282CB8"/>
    <w:rsid w:val="00282F93"/>
    <w:rsid w:val="00283D61"/>
    <w:rsid w:val="00283DB8"/>
    <w:rsid w:val="0028499F"/>
    <w:rsid w:val="00284A05"/>
    <w:rsid w:val="00284A60"/>
    <w:rsid w:val="002850DE"/>
    <w:rsid w:val="00285540"/>
    <w:rsid w:val="00285604"/>
    <w:rsid w:val="00285F6D"/>
    <w:rsid w:val="002860E5"/>
    <w:rsid w:val="002861EB"/>
    <w:rsid w:val="00286ACD"/>
    <w:rsid w:val="00287838"/>
    <w:rsid w:val="00287894"/>
    <w:rsid w:val="00287994"/>
    <w:rsid w:val="00287BBD"/>
    <w:rsid w:val="00290030"/>
    <w:rsid w:val="002907B5"/>
    <w:rsid w:val="00290929"/>
    <w:rsid w:val="00290C45"/>
    <w:rsid w:val="00290CC0"/>
    <w:rsid w:val="00290E11"/>
    <w:rsid w:val="002911CE"/>
    <w:rsid w:val="00291AEE"/>
    <w:rsid w:val="00291BDE"/>
    <w:rsid w:val="00291E8E"/>
    <w:rsid w:val="00292AC6"/>
    <w:rsid w:val="00292EB7"/>
    <w:rsid w:val="0029333B"/>
    <w:rsid w:val="00294365"/>
    <w:rsid w:val="002947AE"/>
    <w:rsid w:val="00294BBD"/>
    <w:rsid w:val="0029508E"/>
    <w:rsid w:val="00295647"/>
    <w:rsid w:val="002957B9"/>
    <w:rsid w:val="002958E7"/>
    <w:rsid w:val="00295991"/>
    <w:rsid w:val="00295995"/>
    <w:rsid w:val="00295A5E"/>
    <w:rsid w:val="00295D9B"/>
    <w:rsid w:val="00296227"/>
    <w:rsid w:val="002966AF"/>
    <w:rsid w:val="00296753"/>
    <w:rsid w:val="00296809"/>
    <w:rsid w:val="00296EE9"/>
    <w:rsid w:val="00296F44"/>
    <w:rsid w:val="002972EB"/>
    <w:rsid w:val="0029777D"/>
    <w:rsid w:val="00297E60"/>
    <w:rsid w:val="00297F62"/>
    <w:rsid w:val="002A055E"/>
    <w:rsid w:val="002A0589"/>
    <w:rsid w:val="002A0A56"/>
    <w:rsid w:val="002A0E38"/>
    <w:rsid w:val="002A13E7"/>
    <w:rsid w:val="002A19D1"/>
    <w:rsid w:val="002A1D4E"/>
    <w:rsid w:val="002A24C2"/>
    <w:rsid w:val="002A2541"/>
    <w:rsid w:val="002A2869"/>
    <w:rsid w:val="002A2A18"/>
    <w:rsid w:val="002A33B5"/>
    <w:rsid w:val="002A3D8A"/>
    <w:rsid w:val="002A3E09"/>
    <w:rsid w:val="002A3EC8"/>
    <w:rsid w:val="002A4299"/>
    <w:rsid w:val="002A45B8"/>
    <w:rsid w:val="002A5343"/>
    <w:rsid w:val="002A54B6"/>
    <w:rsid w:val="002A57F8"/>
    <w:rsid w:val="002A59F9"/>
    <w:rsid w:val="002A628F"/>
    <w:rsid w:val="002A6682"/>
    <w:rsid w:val="002A68E9"/>
    <w:rsid w:val="002A6A68"/>
    <w:rsid w:val="002A6FCC"/>
    <w:rsid w:val="002A714F"/>
    <w:rsid w:val="002A7943"/>
    <w:rsid w:val="002B0099"/>
    <w:rsid w:val="002B089A"/>
    <w:rsid w:val="002B0A04"/>
    <w:rsid w:val="002B0B73"/>
    <w:rsid w:val="002B0CAF"/>
    <w:rsid w:val="002B0DBE"/>
    <w:rsid w:val="002B0DC2"/>
    <w:rsid w:val="002B1B5A"/>
    <w:rsid w:val="002B2219"/>
    <w:rsid w:val="002B24D6"/>
    <w:rsid w:val="002B24FA"/>
    <w:rsid w:val="002B2E3C"/>
    <w:rsid w:val="002B3399"/>
    <w:rsid w:val="002B340C"/>
    <w:rsid w:val="002B3453"/>
    <w:rsid w:val="002B3618"/>
    <w:rsid w:val="002B3B22"/>
    <w:rsid w:val="002B4074"/>
    <w:rsid w:val="002B44C9"/>
    <w:rsid w:val="002B47DD"/>
    <w:rsid w:val="002B4ACF"/>
    <w:rsid w:val="002B690C"/>
    <w:rsid w:val="002B6F27"/>
    <w:rsid w:val="002B707D"/>
    <w:rsid w:val="002B71BA"/>
    <w:rsid w:val="002B762F"/>
    <w:rsid w:val="002B78CE"/>
    <w:rsid w:val="002B7EDF"/>
    <w:rsid w:val="002C0047"/>
    <w:rsid w:val="002C039E"/>
    <w:rsid w:val="002C0970"/>
    <w:rsid w:val="002C0F0E"/>
    <w:rsid w:val="002C1BC3"/>
    <w:rsid w:val="002C22A2"/>
    <w:rsid w:val="002C2410"/>
    <w:rsid w:val="002C2A7B"/>
    <w:rsid w:val="002C2AF1"/>
    <w:rsid w:val="002C2C66"/>
    <w:rsid w:val="002C2D6F"/>
    <w:rsid w:val="002C344D"/>
    <w:rsid w:val="002C3A42"/>
    <w:rsid w:val="002C41E6"/>
    <w:rsid w:val="002C490E"/>
    <w:rsid w:val="002C4DD5"/>
    <w:rsid w:val="002C4ECA"/>
    <w:rsid w:val="002C5401"/>
    <w:rsid w:val="002C5C7F"/>
    <w:rsid w:val="002C5DD2"/>
    <w:rsid w:val="002C6097"/>
    <w:rsid w:val="002C6E5B"/>
    <w:rsid w:val="002C7472"/>
    <w:rsid w:val="002C7A07"/>
    <w:rsid w:val="002C7AEB"/>
    <w:rsid w:val="002D011A"/>
    <w:rsid w:val="002D0570"/>
    <w:rsid w:val="002D0631"/>
    <w:rsid w:val="002D071A"/>
    <w:rsid w:val="002D0B85"/>
    <w:rsid w:val="002D0DEC"/>
    <w:rsid w:val="002D11C3"/>
    <w:rsid w:val="002D1BE9"/>
    <w:rsid w:val="002D20F2"/>
    <w:rsid w:val="002D2B64"/>
    <w:rsid w:val="002D2F74"/>
    <w:rsid w:val="002D33C4"/>
    <w:rsid w:val="002D34B2"/>
    <w:rsid w:val="002D3FE7"/>
    <w:rsid w:val="002D43A3"/>
    <w:rsid w:val="002D45A3"/>
    <w:rsid w:val="002D479F"/>
    <w:rsid w:val="002D48B0"/>
    <w:rsid w:val="002D534A"/>
    <w:rsid w:val="002D589A"/>
    <w:rsid w:val="002D5A55"/>
    <w:rsid w:val="002D5AA3"/>
    <w:rsid w:val="002D5B37"/>
    <w:rsid w:val="002D5EAF"/>
    <w:rsid w:val="002D61D1"/>
    <w:rsid w:val="002D6400"/>
    <w:rsid w:val="002D6A76"/>
    <w:rsid w:val="002D6D5E"/>
    <w:rsid w:val="002D6DF5"/>
    <w:rsid w:val="002D6FDF"/>
    <w:rsid w:val="002D73F0"/>
    <w:rsid w:val="002D73F7"/>
    <w:rsid w:val="002D7637"/>
    <w:rsid w:val="002D76A8"/>
    <w:rsid w:val="002D7A28"/>
    <w:rsid w:val="002E0279"/>
    <w:rsid w:val="002E02B8"/>
    <w:rsid w:val="002E0970"/>
    <w:rsid w:val="002E0A0C"/>
    <w:rsid w:val="002E0A7A"/>
    <w:rsid w:val="002E0C37"/>
    <w:rsid w:val="002E17F2"/>
    <w:rsid w:val="002E2081"/>
    <w:rsid w:val="002E2168"/>
    <w:rsid w:val="002E2215"/>
    <w:rsid w:val="002E2533"/>
    <w:rsid w:val="002E25AB"/>
    <w:rsid w:val="002E26F7"/>
    <w:rsid w:val="002E2E18"/>
    <w:rsid w:val="002E3006"/>
    <w:rsid w:val="002E3A37"/>
    <w:rsid w:val="002E3B08"/>
    <w:rsid w:val="002E40C4"/>
    <w:rsid w:val="002E44D1"/>
    <w:rsid w:val="002E4910"/>
    <w:rsid w:val="002E4DE1"/>
    <w:rsid w:val="002E4E93"/>
    <w:rsid w:val="002E4FCB"/>
    <w:rsid w:val="002E521C"/>
    <w:rsid w:val="002E5246"/>
    <w:rsid w:val="002E52D9"/>
    <w:rsid w:val="002E548C"/>
    <w:rsid w:val="002E5544"/>
    <w:rsid w:val="002E56B8"/>
    <w:rsid w:val="002E5ED9"/>
    <w:rsid w:val="002E5FB7"/>
    <w:rsid w:val="002E6202"/>
    <w:rsid w:val="002E6668"/>
    <w:rsid w:val="002E681E"/>
    <w:rsid w:val="002E68AF"/>
    <w:rsid w:val="002E777B"/>
    <w:rsid w:val="002E7C94"/>
    <w:rsid w:val="002E7CAE"/>
    <w:rsid w:val="002F0348"/>
    <w:rsid w:val="002F0365"/>
    <w:rsid w:val="002F0573"/>
    <w:rsid w:val="002F06DB"/>
    <w:rsid w:val="002F110C"/>
    <w:rsid w:val="002F13E4"/>
    <w:rsid w:val="002F196A"/>
    <w:rsid w:val="002F1B50"/>
    <w:rsid w:val="002F2546"/>
    <w:rsid w:val="002F2771"/>
    <w:rsid w:val="002F2CD2"/>
    <w:rsid w:val="002F3150"/>
    <w:rsid w:val="002F37A9"/>
    <w:rsid w:val="002F3D65"/>
    <w:rsid w:val="002F49AC"/>
    <w:rsid w:val="002F4D5C"/>
    <w:rsid w:val="002F534A"/>
    <w:rsid w:val="002F5920"/>
    <w:rsid w:val="002F5AF2"/>
    <w:rsid w:val="002F6844"/>
    <w:rsid w:val="002F6E82"/>
    <w:rsid w:val="002F6FA1"/>
    <w:rsid w:val="002F70F5"/>
    <w:rsid w:val="002F7158"/>
    <w:rsid w:val="003000A8"/>
    <w:rsid w:val="00300339"/>
    <w:rsid w:val="0030055C"/>
    <w:rsid w:val="003009C5"/>
    <w:rsid w:val="00300F4D"/>
    <w:rsid w:val="00301B2C"/>
    <w:rsid w:val="00301CE6"/>
    <w:rsid w:val="00302313"/>
    <w:rsid w:val="003023A0"/>
    <w:rsid w:val="0030256B"/>
    <w:rsid w:val="00302809"/>
    <w:rsid w:val="00302896"/>
    <w:rsid w:val="00302CB2"/>
    <w:rsid w:val="00302CDE"/>
    <w:rsid w:val="00303121"/>
    <w:rsid w:val="0030399E"/>
    <w:rsid w:val="00303AB4"/>
    <w:rsid w:val="00303CC0"/>
    <w:rsid w:val="00303D3C"/>
    <w:rsid w:val="003040AC"/>
    <w:rsid w:val="00304124"/>
    <w:rsid w:val="00304251"/>
    <w:rsid w:val="00304FB4"/>
    <w:rsid w:val="0030501F"/>
    <w:rsid w:val="0030519F"/>
    <w:rsid w:val="00305569"/>
    <w:rsid w:val="00305723"/>
    <w:rsid w:val="00306FDA"/>
    <w:rsid w:val="003070A1"/>
    <w:rsid w:val="00307114"/>
    <w:rsid w:val="003072A4"/>
    <w:rsid w:val="00307761"/>
    <w:rsid w:val="00307763"/>
    <w:rsid w:val="003077F8"/>
    <w:rsid w:val="0030787C"/>
    <w:rsid w:val="00307BA1"/>
    <w:rsid w:val="003106ED"/>
    <w:rsid w:val="0031083A"/>
    <w:rsid w:val="00310B35"/>
    <w:rsid w:val="00310C99"/>
    <w:rsid w:val="00311116"/>
    <w:rsid w:val="003111B4"/>
    <w:rsid w:val="00311403"/>
    <w:rsid w:val="00311545"/>
    <w:rsid w:val="00311678"/>
    <w:rsid w:val="00311702"/>
    <w:rsid w:val="00311755"/>
    <w:rsid w:val="00311B1B"/>
    <w:rsid w:val="00311D7F"/>
    <w:rsid w:val="00311E82"/>
    <w:rsid w:val="003122E8"/>
    <w:rsid w:val="003123A9"/>
    <w:rsid w:val="003123F1"/>
    <w:rsid w:val="0031261B"/>
    <w:rsid w:val="00312AB1"/>
    <w:rsid w:val="00312C54"/>
    <w:rsid w:val="0031318E"/>
    <w:rsid w:val="003133D4"/>
    <w:rsid w:val="0031348A"/>
    <w:rsid w:val="00313FD6"/>
    <w:rsid w:val="0031403D"/>
    <w:rsid w:val="003143BD"/>
    <w:rsid w:val="00314692"/>
    <w:rsid w:val="00314699"/>
    <w:rsid w:val="00314B02"/>
    <w:rsid w:val="00314BAF"/>
    <w:rsid w:val="00315059"/>
    <w:rsid w:val="00315363"/>
    <w:rsid w:val="00315422"/>
    <w:rsid w:val="0031578B"/>
    <w:rsid w:val="00315B79"/>
    <w:rsid w:val="00315EA9"/>
    <w:rsid w:val="00315F69"/>
    <w:rsid w:val="00316507"/>
    <w:rsid w:val="00316613"/>
    <w:rsid w:val="003168E8"/>
    <w:rsid w:val="00316F36"/>
    <w:rsid w:val="00317215"/>
    <w:rsid w:val="00317216"/>
    <w:rsid w:val="00317396"/>
    <w:rsid w:val="00317442"/>
    <w:rsid w:val="003178FB"/>
    <w:rsid w:val="00317EF8"/>
    <w:rsid w:val="00317F19"/>
    <w:rsid w:val="0032025C"/>
    <w:rsid w:val="003203ED"/>
    <w:rsid w:val="00320569"/>
    <w:rsid w:val="00320910"/>
    <w:rsid w:val="00320F1C"/>
    <w:rsid w:val="00320F83"/>
    <w:rsid w:val="00321352"/>
    <w:rsid w:val="0032197F"/>
    <w:rsid w:val="00321CC6"/>
    <w:rsid w:val="0032242D"/>
    <w:rsid w:val="00322508"/>
    <w:rsid w:val="003225AE"/>
    <w:rsid w:val="00322763"/>
    <w:rsid w:val="00322A8E"/>
    <w:rsid w:val="00322C9F"/>
    <w:rsid w:val="00322F1C"/>
    <w:rsid w:val="00323987"/>
    <w:rsid w:val="003241AE"/>
    <w:rsid w:val="0032460E"/>
    <w:rsid w:val="0032480C"/>
    <w:rsid w:val="00324A16"/>
    <w:rsid w:val="00324B59"/>
    <w:rsid w:val="00324D23"/>
    <w:rsid w:val="00324F0E"/>
    <w:rsid w:val="0032559D"/>
    <w:rsid w:val="0032569D"/>
    <w:rsid w:val="00325740"/>
    <w:rsid w:val="00325874"/>
    <w:rsid w:val="003258D6"/>
    <w:rsid w:val="003267B6"/>
    <w:rsid w:val="00327AAA"/>
    <w:rsid w:val="00327B72"/>
    <w:rsid w:val="00327E89"/>
    <w:rsid w:val="00327F32"/>
    <w:rsid w:val="0033055A"/>
    <w:rsid w:val="00330BF6"/>
    <w:rsid w:val="00330ECF"/>
    <w:rsid w:val="00331318"/>
    <w:rsid w:val="00331751"/>
    <w:rsid w:val="00331A10"/>
    <w:rsid w:val="00331BB5"/>
    <w:rsid w:val="00331C4C"/>
    <w:rsid w:val="00331F74"/>
    <w:rsid w:val="00332016"/>
    <w:rsid w:val="0033220D"/>
    <w:rsid w:val="00332686"/>
    <w:rsid w:val="00332F5E"/>
    <w:rsid w:val="0033306F"/>
    <w:rsid w:val="00333196"/>
    <w:rsid w:val="0033361E"/>
    <w:rsid w:val="00333A01"/>
    <w:rsid w:val="0033423C"/>
    <w:rsid w:val="00334579"/>
    <w:rsid w:val="00335858"/>
    <w:rsid w:val="00335952"/>
    <w:rsid w:val="00335A51"/>
    <w:rsid w:val="00335BB9"/>
    <w:rsid w:val="00335F8A"/>
    <w:rsid w:val="00336AF4"/>
    <w:rsid w:val="00336BDA"/>
    <w:rsid w:val="00336D7B"/>
    <w:rsid w:val="003370A4"/>
    <w:rsid w:val="00337744"/>
    <w:rsid w:val="003378AA"/>
    <w:rsid w:val="00337A86"/>
    <w:rsid w:val="00337E8C"/>
    <w:rsid w:val="0034049F"/>
    <w:rsid w:val="00340638"/>
    <w:rsid w:val="003408C8"/>
    <w:rsid w:val="00340E4E"/>
    <w:rsid w:val="003418F7"/>
    <w:rsid w:val="003421CA"/>
    <w:rsid w:val="0034243F"/>
    <w:rsid w:val="003427E2"/>
    <w:rsid w:val="00342BD7"/>
    <w:rsid w:val="00342D8E"/>
    <w:rsid w:val="00343765"/>
    <w:rsid w:val="003437B6"/>
    <w:rsid w:val="00343853"/>
    <w:rsid w:val="00343C7D"/>
    <w:rsid w:val="00343D8D"/>
    <w:rsid w:val="003440B6"/>
    <w:rsid w:val="00344AED"/>
    <w:rsid w:val="00344D6F"/>
    <w:rsid w:val="00344DD5"/>
    <w:rsid w:val="00344E3B"/>
    <w:rsid w:val="00345193"/>
    <w:rsid w:val="003461AC"/>
    <w:rsid w:val="00346A0C"/>
    <w:rsid w:val="00346DB5"/>
    <w:rsid w:val="00346E0E"/>
    <w:rsid w:val="003477B1"/>
    <w:rsid w:val="00347A0C"/>
    <w:rsid w:val="00350435"/>
    <w:rsid w:val="00350841"/>
    <w:rsid w:val="00350910"/>
    <w:rsid w:val="00350FF4"/>
    <w:rsid w:val="00351432"/>
    <w:rsid w:val="0035176A"/>
    <w:rsid w:val="003517A5"/>
    <w:rsid w:val="003520B6"/>
    <w:rsid w:val="003523E9"/>
    <w:rsid w:val="003526A5"/>
    <w:rsid w:val="00352AFE"/>
    <w:rsid w:val="0035337D"/>
    <w:rsid w:val="003540AC"/>
    <w:rsid w:val="0035415D"/>
    <w:rsid w:val="003545E4"/>
    <w:rsid w:val="003554DB"/>
    <w:rsid w:val="003557B5"/>
    <w:rsid w:val="00356DFE"/>
    <w:rsid w:val="00356E9B"/>
    <w:rsid w:val="00357378"/>
    <w:rsid w:val="00357380"/>
    <w:rsid w:val="003602D9"/>
    <w:rsid w:val="00360452"/>
    <w:rsid w:val="003604CE"/>
    <w:rsid w:val="003608A0"/>
    <w:rsid w:val="00360AA0"/>
    <w:rsid w:val="00360B95"/>
    <w:rsid w:val="003615F3"/>
    <w:rsid w:val="00361771"/>
    <w:rsid w:val="00362382"/>
    <w:rsid w:val="00362458"/>
    <w:rsid w:val="00362A97"/>
    <w:rsid w:val="0036327B"/>
    <w:rsid w:val="003633DC"/>
    <w:rsid w:val="0036380A"/>
    <w:rsid w:val="00363A1D"/>
    <w:rsid w:val="00363EF8"/>
    <w:rsid w:val="00363EFD"/>
    <w:rsid w:val="00363F76"/>
    <w:rsid w:val="00364041"/>
    <w:rsid w:val="00364361"/>
    <w:rsid w:val="00364933"/>
    <w:rsid w:val="00364995"/>
    <w:rsid w:val="00364AA2"/>
    <w:rsid w:val="00364CAA"/>
    <w:rsid w:val="00365100"/>
    <w:rsid w:val="00365235"/>
    <w:rsid w:val="00365295"/>
    <w:rsid w:val="00365605"/>
    <w:rsid w:val="00365ABE"/>
    <w:rsid w:val="00365DF9"/>
    <w:rsid w:val="00365F8D"/>
    <w:rsid w:val="003663C1"/>
    <w:rsid w:val="0036706C"/>
    <w:rsid w:val="0037014D"/>
    <w:rsid w:val="003704CF"/>
    <w:rsid w:val="003706A3"/>
    <w:rsid w:val="00370A41"/>
    <w:rsid w:val="00370DE3"/>
    <w:rsid w:val="00370E47"/>
    <w:rsid w:val="003710E5"/>
    <w:rsid w:val="00371223"/>
    <w:rsid w:val="00371680"/>
    <w:rsid w:val="0037206D"/>
    <w:rsid w:val="00372342"/>
    <w:rsid w:val="00372B41"/>
    <w:rsid w:val="00372FAB"/>
    <w:rsid w:val="0037308B"/>
    <w:rsid w:val="003742AC"/>
    <w:rsid w:val="0037497D"/>
    <w:rsid w:val="003751B5"/>
    <w:rsid w:val="003754E9"/>
    <w:rsid w:val="003759B8"/>
    <w:rsid w:val="00375B9D"/>
    <w:rsid w:val="00375E89"/>
    <w:rsid w:val="0037635B"/>
    <w:rsid w:val="00376477"/>
    <w:rsid w:val="00376494"/>
    <w:rsid w:val="00377397"/>
    <w:rsid w:val="00377CE1"/>
    <w:rsid w:val="00377E2C"/>
    <w:rsid w:val="00377F5B"/>
    <w:rsid w:val="00377FC5"/>
    <w:rsid w:val="003800A8"/>
    <w:rsid w:val="003803F6"/>
    <w:rsid w:val="00380DEB"/>
    <w:rsid w:val="00381C71"/>
    <w:rsid w:val="003828B1"/>
    <w:rsid w:val="00382991"/>
    <w:rsid w:val="0038348C"/>
    <w:rsid w:val="003835FC"/>
    <w:rsid w:val="00383B9D"/>
    <w:rsid w:val="0038433F"/>
    <w:rsid w:val="00384F8D"/>
    <w:rsid w:val="003852F2"/>
    <w:rsid w:val="003853FC"/>
    <w:rsid w:val="00385BF0"/>
    <w:rsid w:val="00385ED8"/>
    <w:rsid w:val="00385EDB"/>
    <w:rsid w:val="00386307"/>
    <w:rsid w:val="003868F5"/>
    <w:rsid w:val="00386DAB"/>
    <w:rsid w:val="00386E98"/>
    <w:rsid w:val="00386F87"/>
    <w:rsid w:val="003871C8"/>
    <w:rsid w:val="003875E0"/>
    <w:rsid w:val="00387635"/>
    <w:rsid w:val="003877D7"/>
    <w:rsid w:val="00387BC8"/>
    <w:rsid w:val="00390064"/>
    <w:rsid w:val="00390073"/>
    <w:rsid w:val="0039010C"/>
    <w:rsid w:val="00390149"/>
    <w:rsid w:val="0039082F"/>
    <w:rsid w:val="00390B9A"/>
    <w:rsid w:val="00391546"/>
    <w:rsid w:val="003919C0"/>
    <w:rsid w:val="00391A9A"/>
    <w:rsid w:val="00391F15"/>
    <w:rsid w:val="003926D4"/>
    <w:rsid w:val="00393309"/>
    <w:rsid w:val="003938A7"/>
    <w:rsid w:val="00393983"/>
    <w:rsid w:val="003939FF"/>
    <w:rsid w:val="00393D17"/>
    <w:rsid w:val="003941E5"/>
    <w:rsid w:val="00394200"/>
    <w:rsid w:val="0039498B"/>
    <w:rsid w:val="003953B9"/>
    <w:rsid w:val="00395401"/>
    <w:rsid w:val="00395494"/>
    <w:rsid w:val="00395CF2"/>
    <w:rsid w:val="00395FB1"/>
    <w:rsid w:val="003969FA"/>
    <w:rsid w:val="003971C9"/>
    <w:rsid w:val="00397228"/>
    <w:rsid w:val="00397249"/>
    <w:rsid w:val="00397504"/>
    <w:rsid w:val="00397676"/>
    <w:rsid w:val="00397F7B"/>
    <w:rsid w:val="00397FEA"/>
    <w:rsid w:val="003A01E3"/>
    <w:rsid w:val="003A0444"/>
    <w:rsid w:val="003A09E1"/>
    <w:rsid w:val="003A0A20"/>
    <w:rsid w:val="003A1660"/>
    <w:rsid w:val="003A1859"/>
    <w:rsid w:val="003A1DD2"/>
    <w:rsid w:val="003A2223"/>
    <w:rsid w:val="003A26A5"/>
    <w:rsid w:val="003A2839"/>
    <w:rsid w:val="003A2A0F"/>
    <w:rsid w:val="003A2C0A"/>
    <w:rsid w:val="003A3388"/>
    <w:rsid w:val="003A378F"/>
    <w:rsid w:val="003A39AE"/>
    <w:rsid w:val="003A39C9"/>
    <w:rsid w:val="003A4302"/>
    <w:rsid w:val="003A45A1"/>
    <w:rsid w:val="003A47AC"/>
    <w:rsid w:val="003A4AB2"/>
    <w:rsid w:val="003A57EC"/>
    <w:rsid w:val="003A5A92"/>
    <w:rsid w:val="003A5B0A"/>
    <w:rsid w:val="003A6BAC"/>
    <w:rsid w:val="003A6DF9"/>
    <w:rsid w:val="003A70A4"/>
    <w:rsid w:val="003A70FA"/>
    <w:rsid w:val="003A725D"/>
    <w:rsid w:val="003A7EF3"/>
    <w:rsid w:val="003A7F98"/>
    <w:rsid w:val="003A7FCC"/>
    <w:rsid w:val="003B0295"/>
    <w:rsid w:val="003B05B1"/>
    <w:rsid w:val="003B0690"/>
    <w:rsid w:val="003B0E5B"/>
    <w:rsid w:val="003B159C"/>
    <w:rsid w:val="003B2145"/>
    <w:rsid w:val="003B2873"/>
    <w:rsid w:val="003B29F5"/>
    <w:rsid w:val="003B2A2A"/>
    <w:rsid w:val="003B361E"/>
    <w:rsid w:val="003B369F"/>
    <w:rsid w:val="003B36A3"/>
    <w:rsid w:val="003B45B6"/>
    <w:rsid w:val="003B46F6"/>
    <w:rsid w:val="003B4AAE"/>
    <w:rsid w:val="003B55D3"/>
    <w:rsid w:val="003B5C8C"/>
    <w:rsid w:val="003B6414"/>
    <w:rsid w:val="003B64A6"/>
    <w:rsid w:val="003B64BB"/>
    <w:rsid w:val="003B665D"/>
    <w:rsid w:val="003B6895"/>
    <w:rsid w:val="003B6E54"/>
    <w:rsid w:val="003B7A4A"/>
    <w:rsid w:val="003B7E4F"/>
    <w:rsid w:val="003B7FE5"/>
    <w:rsid w:val="003C0EAF"/>
    <w:rsid w:val="003C1155"/>
    <w:rsid w:val="003C11C8"/>
    <w:rsid w:val="003C12F5"/>
    <w:rsid w:val="003C2027"/>
    <w:rsid w:val="003C23A9"/>
    <w:rsid w:val="003C2702"/>
    <w:rsid w:val="003C2AE6"/>
    <w:rsid w:val="003C38B3"/>
    <w:rsid w:val="003C3A39"/>
    <w:rsid w:val="003C3A3B"/>
    <w:rsid w:val="003C3A41"/>
    <w:rsid w:val="003C3CD7"/>
    <w:rsid w:val="003C4376"/>
    <w:rsid w:val="003C4385"/>
    <w:rsid w:val="003C4705"/>
    <w:rsid w:val="003C5086"/>
    <w:rsid w:val="003C596A"/>
    <w:rsid w:val="003C5A7B"/>
    <w:rsid w:val="003C5E90"/>
    <w:rsid w:val="003C61D4"/>
    <w:rsid w:val="003C69EF"/>
    <w:rsid w:val="003C6AE6"/>
    <w:rsid w:val="003C7806"/>
    <w:rsid w:val="003C7B61"/>
    <w:rsid w:val="003C7BE1"/>
    <w:rsid w:val="003D0102"/>
    <w:rsid w:val="003D034D"/>
    <w:rsid w:val="003D0951"/>
    <w:rsid w:val="003D109F"/>
    <w:rsid w:val="003D1133"/>
    <w:rsid w:val="003D16E7"/>
    <w:rsid w:val="003D1AA6"/>
    <w:rsid w:val="003D1AF1"/>
    <w:rsid w:val="003D2023"/>
    <w:rsid w:val="003D21E8"/>
    <w:rsid w:val="003D22C5"/>
    <w:rsid w:val="003D2478"/>
    <w:rsid w:val="003D24EE"/>
    <w:rsid w:val="003D26BC"/>
    <w:rsid w:val="003D2FBF"/>
    <w:rsid w:val="003D30F7"/>
    <w:rsid w:val="003D322A"/>
    <w:rsid w:val="003D3C45"/>
    <w:rsid w:val="003D4678"/>
    <w:rsid w:val="003D5834"/>
    <w:rsid w:val="003D5B1F"/>
    <w:rsid w:val="003D61D4"/>
    <w:rsid w:val="003D6200"/>
    <w:rsid w:val="003D6C6C"/>
    <w:rsid w:val="003D71B7"/>
    <w:rsid w:val="003D7311"/>
    <w:rsid w:val="003D73FA"/>
    <w:rsid w:val="003D7446"/>
    <w:rsid w:val="003D7CB1"/>
    <w:rsid w:val="003E037F"/>
    <w:rsid w:val="003E0D50"/>
    <w:rsid w:val="003E11A2"/>
    <w:rsid w:val="003E15FA"/>
    <w:rsid w:val="003E17DD"/>
    <w:rsid w:val="003E1843"/>
    <w:rsid w:val="003E1C7B"/>
    <w:rsid w:val="003E20DE"/>
    <w:rsid w:val="003E2447"/>
    <w:rsid w:val="003E26CF"/>
    <w:rsid w:val="003E272F"/>
    <w:rsid w:val="003E2982"/>
    <w:rsid w:val="003E2B17"/>
    <w:rsid w:val="003E3099"/>
    <w:rsid w:val="003E340C"/>
    <w:rsid w:val="003E349C"/>
    <w:rsid w:val="003E3FA9"/>
    <w:rsid w:val="003E45E6"/>
    <w:rsid w:val="003E4953"/>
    <w:rsid w:val="003E4C9C"/>
    <w:rsid w:val="003E5591"/>
    <w:rsid w:val="003E55E4"/>
    <w:rsid w:val="003E56FB"/>
    <w:rsid w:val="003E6453"/>
    <w:rsid w:val="003E6C49"/>
    <w:rsid w:val="003E74E3"/>
    <w:rsid w:val="003F05C7"/>
    <w:rsid w:val="003F087F"/>
    <w:rsid w:val="003F08D4"/>
    <w:rsid w:val="003F1854"/>
    <w:rsid w:val="003F19F0"/>
    <w:rsid w:val="003F1CEE"/>
    <w:rsid w:val="003F1DB0"/>
    <w:rsid w:val="003F2CD4"/>
    <w:rsid w:val="003F302D"/>
    <w:rsid w:val="003F305F"/>
    <w:rsid w:val="003F354D"/>
    <w:rsid w:val="003F39A6"/>
    <w:rsid w:val="003F40AB"/>
    <w:rsid w:val="003F42F1"/>
    <w:rsid w:val="003F43EB"/>
    <w:rsid w:val="003F4715"/>
    <w:rsid w:val="003F4F8E"/>
    <w:rsid w:val="003F5657"/>
    <w:rsid w:val="003F5E6F"/>
    <w:rsid w:val="003F6253"/>
    <w:rsid w:val="003F6438"/>
    <w:rsid w:val="003F6551"/>
    <w:rsid w:val="003F6BBE"/>
    <w:rsid w:val="003F6C46"/>
    <w:rsid w:val="003F6CDC"/>
    <w:rsid w:val="003F6CF6"/>
    <w:rsid w:val="003F6EBF"/>
    <w:rsid w:val="003F7313"/>
    <w:rsid w:val="003F73EE"/>
    <w:rsid w:val="003F7CBE"/>
    <w:rsid w:val="003F7DCF"/>
    <w:rsid w:val="004000E8"/>
    <w:rsid w:val="004009A1"/>
    <w:rsid w:val="00401133"/>
    <w:rsid w:val="004018FD"/>
    <w:rsid w:val="00401AA6"/>
    <w:rsid w:val="00401FE6"/>
    <w:rsid w:val="004020BD"/>
    <w:rsid w:val="004022EA"/>
    <w:rsid w:val="00402A4D"/>
    <w:rsid w:val="00402E2B"/>
    <w:rsid w:val="00403063"/>
    <w:rsid w:val="0040359D"/>
    <w:rsid w:val="00403966"/>
    <w:rsid w:val="00403A61"/>
    <w:rsid w:val="00403FDB"/>
    <w:rsid w:val="004042FA"/>
    <w:rsid w:val="00404336"/>
    <w:rsid w:val="0040512B"/>
    <w:rsid w:val="00405CA5"/>
    <w:rsid w:val="00405ECE"/>
    <w:rsid w:val="00405FE2"/>
    <w:rsid w:val="00406650"/>
    <w:rsid w:val="00406734"/>
    <w:rsid w:val="0040685D"/>
    <w:rsid w:val="00406B1B"/>
    <w:rsid w:val="00407193"/>
    <w:rsid w:val="00407BA9"/>
    <w:rsid w:val="00407CD3"/>
    <w:rsid w:val="00407EDF"/>
    <w:rsid w:val="004100AF"/>
    <w:rsid w:val="00410134"/>
    <w:rsid w:val="00410B72"/>
    <w:rsid w:val="00410C15"/>
    <w:rsid w:val="00410E77"/>
    <w:rsid w:val="00410F18"/>
    <w:rsid w:val="0041193D"/>
    <w:rsid w:val="0041195C"/>
    <w:rsid w:val="00411F28"/>
    <w:rsid w:val="004123C2"/>
    <w:rsid w:val="0041263E"/>
    <w:rsid w:val="004128B8"/>
    <w:rsid w:val="00412CDD"/>
    <w:rsid w:val="004131E6"/>
    <w:rsid w:val="00413551"/>
    <w:rsid w:val="004135D3"/>
    <w:rsid w:val="00413706"/>
    <w:rsid w:val="00413AAC"/>
    <w:rsid w:val="00413E92"/>
    <w:rsid w:val="00413EDD"/>
    <w:rsid w:val="00414147"/>
    <w:rsid w:val="004141B4"/>
    <w:rsid w:val="00414CAD"/>
    <w:rsid w:val="004150A7"/>
    <w:rsid w:val="0041577F"/>
    <w:rsid w:val="00416321"/>
    <w:rsid w:val="004164C4"/>
    <w:rsid w:val="00416744"/>
    <w:rsid w:val="00416B16"/>
    <w:rsid w:val="00416FE0"/>
    <w:rsid w:val="00417871"/>
    <w:rsid w:val="00417ECE"/>
    <w:rsid w:val="00420482"/>
    <w:rsid w:val="004204CE"/>
    <w:rsid w:val="004209FF"/>
    <w:rsid w:val="00420B9E"/>
    <w:rsid w:val="00421039"/>
    <w:rsid w:val="00421105"/>
    <w:rsid w:val="0042114C"/>
    <w:rsid w:val="004212C1"/>
    <w:rsid w:val="00421885"/>
    <w:rsid w:val="00421A0D"/>
    <w:rsid w:val="00421BC2"/>
    <w:rsid w:val="00421F51"/>
    <w:rsid w:val="004221C0"/>
    <w:rsid w:val="004224BD"/>
    <w:rsid w:val="00422AA4"/>
    <w:rsid w:val="0042326F"/>
    <w:rsid w:val="00423602"/>
    <w:rsid w:val="00423836"/>
    <w:rsid w:val="00423964"/>
    <w:rsid w:val="00423999"/>
    <w:rsid w:val="00423B16"/>
    <w:rsid w:val="00423F67"/>
    <w:rsid w:val="004242F4"/>
    <w:rsid w:val="00424736"/>
    <w:rsid w:val="0042484A"/>
    <w:rsid w:val="004254B4"/>
    <w:rsid w:val="0042555E"/>
    <w:rsid w:val="004256A1"/>
    <w:rsid w:val="00425884"/>
    <w:rsid w:val="0042590A"/>
    <w:rsid w:val="00425DA7"/>
    <w:rsid w:val="00425FF5"/>
    <w:rsid w:val="00425FFD"/>
    <w:rsid w:val="00426068"/>
    <w:rsid w:val="004260C9"/>
    <w:rsid w:val="00426525"/>
    <w:rsid w:val="00427248"/>
    <w:rsid w:val="00427683"/>
    <w:rsid w:val="00427713"/>
    <w:rsid w:val="00427905"/>
    <w:rsid w:val="00427A0F"/>
    <w:rsid w:val="00427E69"/>
    <w:rsid w:val="00430381"/>
    <w:rsid w:val="00430426"/>
    <w:rsid w:val="00431766"/>
    <w:rsid w:val="004318B3"/>
    <w:rsid w:val="004319A3"/>
    <w:rsid w:val="004333D6"/>
    <w:rsid w:val="00433B14"/>
    <w:rsid w:val="00433EC3"/>
    <w:rsid w:val="00435C68"/>
    <w:rsid w:val="004366A4"/>
    <w:rsid w:val="004367CC"/>
    <w:rsid w:val="004369C4"/>
    <w:rsid w:val="00436C11"/>
    <w:rsid w:val="00437447"/>
    <w:rsid w:val="00437A06"/>
    <w:rsid w:val="00437CBA"/>
    <w:rsid w:val="00437CEC"/>
    <w:rsid w:val="004407C3"/>
    <w:rsid w:val="00440AB6"/>
    <w:rsid w:val="00440C52"/>
    <w:rsid w:val="00440D28"/>
    <w:rsid w:val="00440FA6"/>
    <w:rsid w:val="0044183E"/>
    <w:rsid w:val="00441A92"/>
    <w:rsid w:val="00441C51"/>
    <w:rsid w:val="00441F02"/>
    <w:rsid w:val="00442070"/>
    <w:rsid w:val="0044209E"/>
    <w:rsid w:val="004421A1"/>
    <w:rsid w:val="00442F59"/>
    <w:rsid w:val="004431DC"/>
    <w:rsid w:val="0044387D"/>
    <w:rsid w:val="00444935"/>
    <w:rsid w:val="00444AAD"/>
    <w:rsid w:val="00444F56"/>
    <w:rsid w:val="00445F9D"/>
    <w:rsid w:val="004460AE"/>
    <w:rsid w:val="00446118"/>
    <w:rsid w:val="0044611F"/>
    <w:rsid w:val="004461CE"/>
    <w:rsid w:val="00446488"/>
    <w:rsid w:val="004467DE"/>
    <w:rsid w:val="00446B03"/>
    <w:rsid w:val="004479D9"/>
    <w:rsid w:val="004501AC"/>
    <w:rsid w:val="004504FB"/>
    <w:rsid w:val="00450651"/>
    <w:rsid w:val="00450B20"/>
    <w:rsid w:val="00450CBD"/>
    <w:rsid w:val="004517AA"/>
    <w:rsid w:val="00451BDE"/>
    <w:rsid w:val="0045266D"/>
    <w:rsid w:val="004526F2"/>
    <w:rsid w:val="0045274D"/>
    <w:rsid w:val="00452917"/>
    <w:rsid w:val="00452995"/>
    <w:rsid w:val="00452CAC"/>
    <w:rsid w:val="00452E9A"/>
    <w:rsid w:val="00453039"/>
    <w:rsid w:val="00453366"/>
    <w:rsid w:val="00453D2E"/>
    <w:rsid w:val="00454439"/>
    <w:rsid w:val="00454573"/>
    <w:rsid w:val="00454892"/>
    <w:rsid w:val="00454CD6"/>
    <w:rsid w:val="00455233"/>
    <w:rsid w:val="00455935"/>
    <w:rsid w:val="00455979"/>
    <w:rsid w:val="00456CEA"/>
    <w:rsid w:val="00457565"/>
    <w:rsid w:val="0045764B"/>
    <w:rsid w:val="004579B5"/>
    <w:rsid w:val="00457B71"/>
    <w:rsid w:val="00457C0A"/>
    <w:rsid w:val="00460971"/>
    <w:rsid w:val="00460B8E"/>
    <w:rsid w:val="00460E52"/>
    <w:rsid w:val="00460FE0"/>
    <w:rsid w:val="0046192B"/>
    <w:rsid w:val="00461A93"/>
    <w:rsid w:val="00461B6C"/>
    <w:rsid w:val="00461C3D"/>
    <w:rsid w:val="00461FCE"/>
    <w:rsid w:val="0046253E"/>
    <w:rsid w:val="00462AAB"/>
    <w:rsid w:val="00462F1B"/>
    <w:rsid w:val="00463716"/>
    <w:rsid w:val="00463B0A"/>
    <w:rsid w:val="00463CA9"/>
    <w:rsid w:val="00463D59"/>
    <w:rsid w:val="00464332"/>
    <w:rsid w:val="00464689"/>
    <w:rsid w:val="00464A79"/>
    <w:rsid w:val="00464D29"/>
    <w:rsid w:val="00464E71"/>
    <w:rsid w:val="0046583F"/>
    <w:rsid w:val="00465E4C"/>
    <w:rsid w:val="00466016"/>
    <w:rsid w:val="00466699"/>
    <w:rsid w:val="004669BA"/>
    <w:rsid w:val="004669E2"/>
    <w:rsid w:val="00466B73"/>
    <w:rsid w:val="00467222"/>
    <w:rsid w:val="00467E88"/>
    <w:rsid w:val="00470935"/>
    <w:rsid w:val="00470965"/>
    <w:rsid w:val="00470C31"/>
    <w:rsid w:val="00471917"/>
    <w:rsid w:val="00471DE0"/>
    <w:rsid w:val="00471FAD"/>
    <w:rsid w:val="004721BA"/>
    <w:rsid w:val="00472829"/>
    <w:rsid w:val="00472C82"/>
    <w:rsid w:val="00472E6E"/>
    <w:rsid w:val="00473105"/>
    <w:rsid w:val="00473173"/>
    <w:rsid w:val="004734D0"/>
    <w:rsid w:val="00473D20"/>
    <w:rsid w:val="00473E05"/>
    <w:rsid w:val="00474198"/>
    <w:rsid w:val="004742D8"/>
    <w:rsid w:val="00474EC6"/>
    <w:rsid w:val="0047556B"/>
    <w:rsid w:val="0047559C"/>
    <w:rsid w:val="004757D4"/>
    <w:rsid w:val="004759B4"/>
    <w:rsid w:val="00475C54"/>
    <w:rsid w:val="00475DDD"/>
    <w:rsid w:val="00475E23"/>
    <w:rsid w:val="004765DB"/>
    <w:rsid w:val="00477768"/>
    <w:rsid w:val="00477B65"/>
    <w:rsid w:val="00477CE4"/>
    <w:rsid w:val="00477D65"/>
    <w:rsid w:val="0048054F"/>
    <w:rsid w:val="00480C4B"/>
    <w:rsid w:val="0048115F"/>
    <w:rsid w:val="004816CE"/>
    <w:rsid w:val="004816DA"/>
    <w:rsid w:val="00481980"/>
    <w:rsid w:val="00481A9E"/>
    <w:rsid w:val="00481B82"/>
    <w:rsid w:val="00482086"/>
    <w:rsid w:val="0048225F"/>
    <w:rsid w:val="00482B22"/>
    <w:rsid w:val="00482E62"/>
    <w:rsid w:val="00483523"/>
    <w:rsid w:val="00483EF5"/>
    <w:rsid w:val="004844DE"/>
    <w:rsid w:val="004848D0"/>
    <w:rsid w:val="0048491C"/>
    <w:rsid w:val="00484C24"/>
    <w:rsid w:val="004852F5"/>
    <w:rsid w:val="004861B6"/>
    <w:rsid w:val="0048622E"/>
    <w:rsid w:val="00486555"/>
    <w:rsid w:val="00486572"/>
    <w:rsid w:val="00487123"/>
    <w:rsid w:val="00487131"/>
    <w:rsid w:val="004872E4"/>
    <w:rsid w:val="00487322"/>
    <w:rsid w:val="0048788E"/>
    <w:rsid w:val="00487FB6"/>
    <w:rsid w:val="00487FF9"/>
    <w:rsid w:val="00490269"/>
    <w:rsid w:val="0049093E"/>
    <w:rsid w:val="00491118"/>
    <w:rsid w:val="0049128F"/>
    <w:rsid w:val="004917FB"/>
    <w:rsid w:val="004919B2"/>
    <w:rsid w:val="00492434"/>
    <w:rsid w:val="00492BC5"/>
    <w:rsid w:val="00492FB1"/>
    <w:rsid w:val="0049362B"/>
    <w:rsid w:val="00493695"/>
    <w:rsid w:val="004936CB"/>
    <w:rsid w:val="00493A55"/>
    <w:rsid w:val="00493C64"/>
    <w:rsid w:val="004941D8"/>
    <w:rsid w:val="00494AA8"/>
    <w:rsid w:val="00494EF3"/>
    <w:rsid w:val="0049515C"/>
    <w:rsid w:val="0049530E"/>
    <w:rsid w:val="00495D73"/>
    <w:rsid w:val="004964F1"/>
    <w:rsid w:val="004967CD"/>
    <w:rsid w:val="00496804"/>
    <w:rsid w:val="00496B2F"/>
    <w:rsid w:val="00496F49"/>
    <w:rsid w:val="00497003"/>
    <w:rsid w:val="00497085"/>
    <w:rsid w:val="004977C4"/>
    <w:rsid w:val="0049782C"/>
    <w:rsid w:val="0049793D"/>
    <w:rsid w:val="004A01D3"/>
    <w:rsid w:val="004A055F"/>
    <w:rsid w:val="004A0699"/>
    <w:rsid w:val="004A0AA0"/>
    <w:rsid w:val="004A1162"/>
    <w:rsid w:val="004A11EF"/>
    <w:rsid w:val="004A125C"/>
    <w:rsid w:val="004A16BC"/>
    <w:rsid w:val="004A16F4"/>
    <w:rsid w:val="004A1744"/>
    <w:rsid w:val="004A1906"/>
    <w:rsid w:val="004A1A42"/>
    <w:rsid w:val="004A1FEA"/>
    <w:rsid w:val="004A2474"/>
    <w:rsid w:val="004A2521"/>
    <w:rsid w:val="004A2798"/>
    <w:rsid w:val="004A2A9E"/>
    <w:rsid w:val="004A2B94"/>
    <w:rsid w:val="004A2D70"/>
    <w:rsid w:val="004A39BD"/>
    <w:rsid w:val="004A3C3F"/>
    <w:rsid w:val="004A3D87"/>
    <w:rsid w:val="004A4099"/>
    <w:rsid w:val="004A46D0"/>
    <w:rsid w:val="004A5276"/>
    <w:rsid w:val="004A5520"/>
    <w:rsid w:val="004A5CA4"/>
    <w:rsid w:val="004A5F00"/>
    <w:rsid w:val="004A6024"/>
    <w:rsid w:val="004A6086"/>
    <w:rsid w:val="004A6411"/>
    <w:rsid w:val="004A64AA"/>
    <w:rsid w:val="004A6671"/>
    <w:rsid w:val="004A6886"/>
    <w:rsid w:val="004A6D06"/>
    <w:rsid w:val="004A7100"/>
    <w:rsid w:val="004A752D"/>
    <w:rsid w:val="004A75EC"/>
    <w:rsid w:val="004A7B2A"/>
    <w:rsid w:val="004B06B9"/>
    <w:rsid w:val="004B0E19"/>
    <w:rsid w:val="004B0E9B"/>
    <w:rsid w:val="004B12B5"/>
    <w:rsid w:val="004B18F0"/>
    <w:rsid w:val="004B194E"/>
    <w:rsid w:val="004B1E7C"/>
    <w:rsid w:val="004B24B1"/>
    <w:rsid w:val="004B28DB"/>
    <w:rsid w:val="004B2B05"/>
    <w:rsid w:val="004B2F57"/>
    <w:rsid w:val="004B34BB"/>
    <w:rsid w:val="004B3FE4"/>
    <w:rsid w:val="004B4734"/>
    <w:rsid w:val="004B4E78"/>
    <w:rsid w:val="004B5701"/>
    <w:rsid w:val="004B580E"/>
    <w:rsid w:val="004B5AE8"/>
    <w:rsid w:val="004B5E33"/>
    <w:rsid w:val="004B6F6A"/>
    <w:rsid w:val="004B71C3"/>
    <w:rsid w:val="004B7C0C"/>
    <w:rsid w:val="004C0001"/>
    <w:rsid w:val="004C09EE"/>
    <w:rsid w:val="004C0FE6"/>
    <w:rsid w:val="004C1560"/>
    <w:rsid w:val="004C1A55"/>
    <w:rsid w:val="004C1C2D"/>
    <w:rsid w:val="004C2204"/>
    <w:rsid w:val="004C25BB"/>
    <w:rsid w:val="004C30A7"/>
    <w:rsid w:val="004C3173"/>
    <w:rsid w:val="004C36FA"/>
    <w:rsid w:val="004C3867"/>
    <w:rsid w:val="004C3898"/>
    <w:rsid w:val="004C38FB"/>
    <w:rsid w:val="004C3A16"/>
    <w:rsid w:val="004C3D3F"/>
    <w:rsid w:val="004C433F"/>
    <w:rsid w:val="004C45CD"/>
    <w:rsid w:val="004C4A87"/>
    <w:rsid w:val="004C4DEF"/>
    <w:rsid w:val="004C5363"/>
    <w:rsid w:val="004C53BB"/>
    <w:rsid w:val="004C5511"/>
    <w:rsid w:val="004C579B"/>
    <w:rsid w:val="004C5967"/>
    <w:rsid w:val="004C5E51"/>
    <w:rsid w:val="004C5E55"/>
    <w:rsid w:val="004C62C9"/>
    <w:rsid w:val="004C6672"/>
    <w:rsid w:val="004C68B3"/>
    <w:rsid w:val="004C6A28"/>
    <w:rsid w:val="004C6CDF"/>
    <w:rsid w:val="004C6DBF"/>
    <w:rsid w:val="004C7716"/>
    <w:rsid w:val="004C79D6"/>
    <w:rsid w:val="004C79DE"/>
    <w:rsid w:val="004C7A4A"/>
    <w:rsid w:val="004D0311"/>
    <w:rsid w:val="004D05E9"/>
    <w:rsid w:val="004D0A6C"/>
    <w:rsid w:val="004D0B8F"/>
    <w:rsid w:val="004D108E"/>
    <w:rsid w:val="004D1649"/>
    <w:rsid w:val="004D1FAB"/>
    <w:rsid w:val="004D2248"/>
    <w:rsid w:val="004D25C8"/>
    <w:rsid w:val="004D26DB"/>
    <w:rsid w:val="004D2C97"/>
    <w:rsid w:val="004D344B"/>
    <w:rsid w:val="004D344D"/>
    <w:rsid w:val="004D36B1"/>
    <w:rsid w:val="004D381E"/>
    <w:rsid w:val="004D3EF9"/>
    <w:rsid w:val="004D4DBC"/>
    <w:rsid w:val="004D50D6"/>
    <w:rsid w:val="004D58D4"/>
    <w:rsid w:val="004D58FD"/>
    <w:rsid w:val="004D59E7"/>
    <w:rsid w:val="004D5C62"/>
    <w:rsid w:val="004D5E31"/>
    <w:rsid w:val="004D6149"/>
    <w:rsid w:val="004D6297"/>
    <w:rsid w:val="004D68B4"/>
    <w:rsid w:val="004D779E"/>
    <w:rsid w:val="004D7C7D"/>
    <w:rsid w:val="004D7E58"/>
    <w:rsid w:val="004D7EBD"/>
    <w:rsid w:val="004E02D3"/>
    <w:rsid w:val="004E052F"/>
    <w:rsid w:val="004E08BE"/>
    <w:rsid w:val="004E092F"/>
    <w:rsid w:val="004E0E61"/>
    <w:rsid w:val="004E12B7"/>
    <w:rsid w:val="004E1313"/>
    <w:rsid w:val="004E183A"/>
    <w:rsid w:val="004E1A37"/>
    <w:rsid w:val="004E2067"/>
    <w:rsid w:val="004E2321"/>
    <w:rsid w:val="004E23CB"/>
    <w:rsid w:val="004E2680"/>
    <w:rsid w:val="004E275C"/>
    <w:rsid w:val="004E28F9"/>
    <w:rsid w:val="004E2F2C"/>
    <w:rsid w:val="004E3E38"/>
    <w:rsid w:val="004E41FF"/>
    <w:rsid w:val="004E433E"/>
    <w:rsid w:val="004E462E"/>
    <w:rsid w:val="004E4A74"/>
    <w:rsid w:val="004E4C08"/>
    <w:rsid w:val="004E4F60"/>
    <w:rsid w:val="004E5085"/>
    <w:rsid w:val="004E509B"/>
    <w:rsid w:val="004E56DC"/>
    <w:rsid w:val="004E589A"/>
    <w:rsid w:val="004E5B52"/>
    <w:rsid w:val="004E6CF7"/>
    <w:rsid w:val="004E6F54"/>
    <w:rsid w:val="004E7461"/>
    <w:rsid w:val="004E76F4"/>
    <w:rsid w:val="004F0B4E"/>
    <w:rsid w:val="004F0B6C"/>
    <w:rsid w:val="004F19CC"/>
    <w:rsid w:val="004F2078"/>
    <w:rsid w:val="004F2397"/>
    <w:rsid w:val="004F2712"/>
    <w:rsid w:val="004F28BA"/>
    <w:rsid w:val="004F2DF0"/>
    <w:rsid w:val="004F3794"/>
    <w:rsid w:val="004F414C"/>
    <w:rsid w:val="004F4562"/>
    <w:rsid w:val="004F478B"/>
    <w:rsid w:val="004F4A98"/>
    <w:rsid w:val="004F4DA3"/>
    <w:rsid w:val="004F4F18"/>
    <w:rsid w:val="004F5B09"/>
    <w:rsid w:val="004F5CEE"/>
    <w:rsid w:val="004F644B"/>
    <w:rsid w:val="004F75B8"/>
    <w:rsid w:val="004F76F1"/>
    <w:rsid w:val="00501509"/>
    <w:rsid w:val="005017BF"/>
    <w:rsid w:val="005024DB"/>
    <w:rsid w:val="00502766"/>
    <w:rsid w:val="00502CE2"/>
    <w:rsid w:val="00502D54"/>
    <w:rsid w:val="005035CB"/>
    <w:rsid w:val="00503ED5"/>
    <w:rsid w:val="00504FC7"/>
    <w:rsid w:val="0050503D"/>
    <w:rsid w:val="00505488"/>
    <w:rsid w:val="00505B68"/>
    <w:rsid w:val="00505E37"/>
    <w:rsid w:val="00506557"/>
    <w:rsid w:val="005066A1"/>
    <w:rsid w:val="0050677A"/>
    <w:rsid w:val="00507096"/>
    <w:rsid w:val="005104A6"/>
    <w:rsid w:val="005108D8"/>
    <w:rsid w:val="00510951"/>
    <w:rsid w:val="005109E3"/>
    <w:rsid w:val="00511303"/>
    <w:rsid w:val="005116F9"/>
    <w:rsid w:val="005119CA"/>
    <w:rsid w:val="0051208F"/>
    <w:rsid w:val="00512971"/>
    <w:rsid w:val="005129CB"/>
    <w:rsid w:val="005129ED"/>
    <w:rsid w:val="00512C9C"/>
    <w:rsid w:val="005135A1"/>
    <w:rsid w:val="005135E9"/>
    <w:rsid w:val="00513B70"/>
    <w:rsid w:val="00513D82"/>
    <w:rsid w:val="005143AB"/>
    <w:rsid w:val="00514758"/>
    <w:rsid w:val="005147A4"/>
    <w:rsid w:val="00514ABF"/>
    <w:rsid w:val="00514D52"/>
    <w:rsid w:val="005153A7"/>
    <w:rsid w:val="00515B23"/>
    <w:rsid w:val="005160A5"/>
    <w:rsid w:val="0051697E"/>
    <w:rsid w:val="005173FD"/>
    <w:rsid w:val="005174D3"/>
    <w:rsid w:val="00517657"/>
    <w:rsid w:val="00517AD9"/>
    <w:rsid w:val="00517C86"/>
    <w:rsid w:val="00520D39"/>
    <w:rsid w:val="00520FFE"/>
    <w:rsid w:val="005214D5"/>
    <w:rsid w:val="005219CF"/>
    <w:rsid w:val="00521F2E"/>
    <w:rsid w:val="00521F44"/>
    <w:rsid w:val="005225C5"/>
    <w:rsid w:val="00522627"/>
    <w:rsid w:val="005232A6"/>
    <w:rsid w:val="00523442"/>
    <w:rsid w:val="00523973"/>
    <w:rsid w:val="0052437D"/>
    <w:rsid w:val="005246F3"/>
    <w:rsid w:val="00524787"/>
    <w:rsid w:val="00524805"/>
    <w:rsid w:val="00524F54"/>
    <w:rsid w:val="005250E1"/>
    <w:rsid w:val="00525398"/>
    <w:rsid w:val="00526F03"/>
    <w:rsid w:val="00526FD6"/>
    <w:rsid w:val="00527049"/>
    <w:rsid w:val="00527248"/>
    <w:rsid w:val="00527363"/>
    <w:rsid w:val="0052768D"/>
    <w:rsid w:val="00527E1B"/>
    <w:rsid w:val="0053012E"/>
    <w:rsid w:val="005306F9"/>
    <w:rsid w:val="00530AAC"/>
    <w:rsid w:val="00530BEC"/>
    <w:rsid w:val="00530E2F"/>
    <w:rsid w:val="00530E32"/>
    <w:rsid w:val="00530E79"/>
    <w:rsid w:val="00530F32"/>
    <w:rsid w:val="0053155D"/>
    <w:rsid w:val="00531BB9"/>
    <w:rsid w:val="00531FA6"/>
    <w:rsid w:val="00532453"/>
    <w:rsid w:val="00532660"/>
    <w:rsid w:val="00532CC1"/>
    <w:rsid w:val="00532CD5"/>
    <w:rsid w:val="00532D0B"/>
    <w:rsid w:val="00532FB5"/>
    <w:rsid w:val="00533484"/>
    <w:rsid w:val="005334DC"/>
    <w:rsid w:val="00533B30"/>
    <w:rsid w:val="00533BEA"/>
    <w:rsid w:val="00533C94"/>
    <w:rsid w:val="00534A58"/>
    <w:rsid w:val="00534A64"/>
    <w:rsid w:val="00534B59"/>
    <w:rsid w:val="00534D77"/>
    <w:rsid w:val="00535071"/>
    <w:rsid w:val="00535948"/>
    <w:rsid w:val="00535A7A"/>
    <w:rsid w:val="00535BC0"/>
    <w:rsid w:val="00536059"/>
    <w:rsid w:val="00536189"/>
    <w:rsid w:val="0053619F"/>
    <w:rsid w:val="0053639E"/>
    <w:rsid w:val="00536759"/>
    <w:rsid w:val="00536764"/>
    <w:rsid w:val="00537126"/>
    <w:rsid w:val="0053790D"/>
    <w:rsid w:val="00537C62"/>
    <w:rsid w:val="00541432"/>
    <w:rsid w:val="00542518"/>
    <w:rsid w:val="00542873"/>
    <w:rsid w:val="00542A37"/>
    <w:rsid w:val="00542D65"/>
    <w:rsid w:val="005435BD"/>
    <w:rsid w:val="0054374A"/>
    <w:rsid w:val="00544126"/>
    <w:rsid w:val="005444F6"/>
    <w:rsid w:val="005448F7"/>
    <w:rsid w:val="00544CAE"/>
    <w:rsid w:val="00544DFE"/>
    <w:rsid w:val="00544F46"/>
    <w:rsid w:val="00545050"/>
    <w:rsid w:val="0054517E"/>
    <w:rsid w:val="00545CC2"/>
    <w:rsid w:val="0054619E"/>
    <w:rsid w:val="00546728"/>
    <w:rsid w:val="00546970"/>
    <w:rsid w:val="0054784B"/>
    <w:rsid w:val="00547BF0"/>
    <w:rsid w:val="0055013F"/>
    <w:rsid w:val="00550222"/>
    <w:rsid w:val="00550B54"/>
    <w:rsid w:val="00550E98"/>
    <w:rsid w:val="00551774"/>
    <w:rsid w:val="00551F64"/>
    <w:rsid w:val="005521E1"/>
    <w:rsid w:val="00552C5A"/>
    <w:rsid w:val="00552DFE"/>
    <w:rsid w:val="00552EAB"/>
    <w:rsid w:val="005543ED"/>
    <w:rsid w:val="00554CFB"/>
    <w:rsid w:val="00554E19"/>
    <w:rsid w:val="0055535A"/>
    <w:rsid w:val="00555681"/>
    <w:rsid w:val="0055588D"/>
    <w:rsid w:val="005558C0"/>
    <w:rsid w:val="00555A1D"/>
    <w:rsid w:val="0055636C"/>
    <w:rsid w:val="005573BF"/>
    <w:rsid w:val="005576EE"/>
    <w:rsid w:val="00557EC3"/>
    <w:rsid w:val="00560295"/>
    <w:rsid w:val="005603AF"/>
    <w:rsid w:val="0056050C"/>
    <w:rsid w:val="005608F2"/>
    <w:rsid w:val="00560D7B"/>
    <w:rsid w:val="00560EA4"/>
    <w:rsid w:val="0056121F"/>
    <w:rsid w:val="005612B5"/>
    <w:rsid w:val="00561826"/>
    <w:rsid w:val="005619EF"/>
    <w:rsid w:val="00562054"/>
    <w:rsid w:val="00562987"/>
    <w:rsid w:val="00562DF8"/>
    <w:rsid w:val="005634D2"/>
    <w:rsid w:val="00563913"/>
    <w:rsid w:val="00563A6C"/>
    <w:rsid w:val="005641ED"/>
    <w:rsid w:val="005644E4"/>
    <w:rsid w:val="00564FFD"/>
    <w:rsid w:val="00565122"/>
    <w:rsid w:val="00565174"/>
    <w:rsid w:val="005658F2"/>
    <w:rsid w:val="005672DB"/>
    <w:rsid w:val="00567380"/>
    <w:rsid w:val="0056761F"/>
    <w:rsid w:val="00567A1A"/>
    <w:rsid w:val="00570089"/>
    <w:rsid w:val="0057010B"/>
    <w:rsid w:val="00570185"/>
    <w:rsid w:val="0057168B"/>
    <w:rsid w:val="00571791"/>
    <w:rsid w:val="00571848"/>
    <w:rsid w:val="00571A89"/>
    <w:rsid w:val="00571B10"/>
    <w:rsid w:val="00571F4D"/>
    <w:rsid w:val="005722AC"/>
    <w:rsid w:val="00572396"/>
    <w:rsid w:val="00572505"/>
    <w:rsid w:val="00572D5D"/>
    <w:rsid w:val="005730BB"/>
    <w:rsid w:val="005733E2"/>
    <w:rsid w:val="0057379C"/>
    <w:rsid w:val="00573B54"/>
    <w:rsid w:val="00573E8E"/>
    <w:rsid w:val="00573FE4"/>
    <w:rsid w:val="00574055"/>
    <w:rsid w:val="0057463D"/>
    <w:rsid w:val="00574681"/>
    <w:rsid w:val="00574966"/>
    <w:rsid w:val="00574AB7"/>
    <w:rsid w:val="005752B4"/>
    <w:rsid w:val="00575430"/>
    <w:rsid w:val="005754E8"/>
    <w:rsid w:val="00575638"/>
    <w:rsid w:val="005763EB"/>
    <w:rsid w:val="00576506"/>
    <w:rsid w:val="00576856"/>
    <w:rsid w:val="00577054"/>
    <w:rsid w:val="00577075"/>
    <w:rsid w:val="0057712C"/>
    <w:rsid w:val="005803DF"/>
    <w:rsid w:val="00580545"/>
    <w:rsid w:val="005805FB"/>
    <w:rsid w:val="0058095B"/>
    <w:rsid w:val="00580BEF"/>
    <w:rsid w:val="00580D78"/>
    <w:rsid w:val="005816FF"/>
    <w:rsid w:val="005818EE"/>
    <w:rsid w:val="00581A88"/>
    <w:rsid w:val="00582297"/>
    <w:rsid w:val="00582358"/>
    <w:rsid w:val="0058271D"/>
    <w:rsid w:val="00582809"/>
    <w:rsid w:val="00582AD8"/>
    <w:rsid w:val="00583018"/>
    <w:rsid w:val="00583136"/>
    <w:rsid w:val="00583395"/>
    <w:rsid w:val="0058385B"/>
    <w:rsid w:val="005838B6"/>
    <w:rsid w:val="00583913"/>
    <w:rsid w:val="00584A7F"/>
    <w:rsid w:val="005856A9"/>
    <w:rsid w:val="005859D6"/>
    <w:rsid w:val="005861C2"/>
    <w:rsid w:val="005861C5"/>
    <w:rsid w:val="0058678A"/>
    <w:rsid w:val="00587094"/>
    <w:rsid w:val="00587240"/>
    <w:rsid w:val="005873B3"/>
    <w:rsid w:val="00587425"/>
    <w:rsid w:val="00587894"/>
    <w:rsid w:val="0058798C"/>
    <w:rsid w:val="005900FA"/>
    <w:rsid w:val="00590300"/>
    <w:rsid w:val="00590895"/>
    <w:rsid w:val="00590CDF"/>
    <w:rsid w:val="005912F3"/>
    <w:rsid w:val="005927C3"/>
    <w:rsid w:val="005927D8"/>
    <w:rsid w:val="00592D32"/>
    <w:rsid w:val="005933E1"/>
    <w:rsid w:val="005935A4"/>
    <w:rsid w:val="00593D81"/>
    <w:rsid w:val="00594314"/>
    <w:rsid w:val="005948C2"/>
    <w:rsid w:val="00594BE3"/>
    <w:rsid w:val="00595173"/>
    <w:rsid w:val="00595DCA"/>
    <w:rsid w:val="00595F6D"/>
    <w:rsid w:val="00596476"/>
    <w:rsid w:val="00596657"/>
    <w:rsid w:val="00596E5A"/>
    <w:rsid w:val="0059723A"/>
    <w:rsid w:val="0059779B"/>
    <w:rsid w:val="005A0437"/>
    <w:rsid w:val="005A04A8"/>
    <w:rsid w:val="005A065D"/>
    <w:rsid w:val="005A0F5B"/>
    <w:rsid w:val="005A115A"/>
    <w:rsid w:val="005A1315"/>
    <w:rsid w:val="005A1AF5"/>
    <w:rsid w:val="005A1BE5"/>
    <w:rsid w:val="005A1E85"/>
    <w:rsid w:val="005A209A"/>
    <w:rsid w:val="005A2CDD"/>
    <w:rsid w:val="005A2F84"/>
    <w:rsid w:val="005A3125"/>
    <w:rsid w:val="005A3C7C"/>
    <w:rsid w:val="005A3FAB"/>
    <w:rsid w:val="005A48AC"/>
    <w:rsid w:val="005A52EB"/>
    <w:rsid w:val="005A57A6"/>
    <w:rsid w:val="005A5D72"/>
    <w:rsid w:val="005A5E96"/>
    <w:rsid w:val="005A637D"/>
    <w:rsid w:val="005A655A"/>
    <w:rsid w:val="005A6561"/>
    <w:rsid w:val="005A662D"/>
    <w:rsid w:val="005A6BE1"/>
    <w:rsid w:val="005A6D22"/>
    <w:rsid w:val="005A6E6F"/>
    <w:rsid w:val="005A71BC"/>
    <w:rsid w:val="005A7210"/>
    <w:rsid w:val="005A7D0F"/>
    <w:rsid w:val="005A7EE9"/>
    <w:rsid w:val="005A7F6E"/>
    <w:rsid w:val="005B108D"/>
    <w:rsid w:val="005B1131"/>
    <w:rsid w:val="005B1409"/>
    <w:rsid w:val="005B14A4"/>
    <w:rsid w:val="005B18D2"/>
    <w:rsid w:val="005B191E"/>
    <w:rsid w:val="005B1E77"/>
    <w:rsid w:val="005B2027"/>
    <w:rsid w:val="005B216A"/>
    <w:rsid w:val="005B2AEA"/>
    <w:rsid w:val="005B2B69"/>
    <w:rsid w:val="005B35D7"/>
    <w:rsid w:val="005B361D"/>
    <w:rsid w:val="005B3868"/>
    <w:rsid w:val="005B392A"/>
    <w:rsid w:val="005B398D"/>
    <w:rsid w:val="005B3AA3"/>
    <w:rsid w:val="005B3CB1"/>
    <w:rsid w:val="005B3D4D"/>
    <w:rsid w:val="005B4284"/>
    <w:rsid w:val="005B46C2"/>
    <w:rsid w:val="005B47EC"/>
    <w:rsid w:val="005B4914"/>
    <w:rsid w:val="005B4D5E"/>
    <w:rsid w:val="005B4E6A"/>
    <w:rsid w:val="005B5462"/>
    <w:rsid w:val="005B54FD"/>
    <w:rsid w:val="005B585B"/>
    <w:rsid w:val="005B5880"/>
    <w:rsid w:val="005B6F83"/>
    <w:rsid w:val="005B7323"/>
    <w:rsid w:val="005B734A"/>
    <w:rsid w:val="005B7446"/>
    <w:rsid w:val="005B7DEF"/>
    <w:rsid w:val="005C0129"/>
    <w:rsid w:val="005C01FB"/>
    <w:rsid w:val="005C036F"/>
    <w:rsid w:val="005C038D"/>
    <w:rsid w:val="005C0CD7"/>
    <w:rsid w:val="005C0FC8"/>
    <w:rsid w:val="005C1071"/>
    <w:rsid w:val="005C158D"/>
    <w:rsid w:val="005C174D"/>
    <w:rsid w:val="005C183C"/>
    <w:rsid w:val="005C1863"/>
    <w:rsid w:val="005C26EC"/>
    <w:rsid w:val="005C2954"/>
    <w:rsid w:val="005C34CC"/>
    <w:rsid w:val="005C3ACE"/>
    <w:rsid w:val="005C3B2D"/>
    <w:rsid w:val="005C4028"/>
    <w:rsid w:val="005C4873"/>
    <w:rsid w:val="005C4C6A"/>
    <w:rsid w:val="005C582E"/>
    <w:rsid w:val="005C5919"/>
    <w:rsid w:val="005C5958"/>
    <w:rsid w:val="005C5AD4"/>
    <w:rsid w:val="005C5F86"/>
    <w:rsid w:val="005C604E"/>
    <w:rsid w:val="005C6B55"/>
    <w:rsid w:val="005C74FB"/>
    <w:rsid w:val="005C7555"/>
    <w:rsid w:val="005C7A8B"/>
    <w:rsid w:val="005C7B05"/>
    <w:rsid w:val="005D054D"/>
    <w:rsid w:val="005D063E"/>
    <w:rsid w:val="005D06D1"/>
    <w:rsid w:val="005D1348"/>
    <w:rsid w:val="005D1602"/>
    <w:rsid w:val="005D16ED"/>
    <w:rsid w:val="005D27BF"/>
    <w:rsid w:val="005D2A69"/>
    <w:rsid w:val="005D2B38"/>
    <w:rsid w:val="005D2F3B"/>
    <w:rsid w:val="005D3669"/>
    <w:rsid w:val="005D3A1D"/>
    <w:rsid w:val="005D3BD4"/>
    <w:rsid w:val="005D3DAA"/>
    <w:rsid w:val="005D4108"/>
    <w:rsid w:val="005D426C"/>
    <w:rsid w:val="005D5021"/>
    <w:rsid w:val="005D54BF"/>
    <w:rsid w:val="005D5C5C"/>
    <w:rsid w:val="005D5DAE"/>
    <w:rsid w:val="005D60BC"/>
    <w:rsid w:val="005D60E3"/>
    <w:rsid w:val="005D6111"/>
    <w:rsid w:val="005D6286"/>
    <w:rsid w:val="005D663A"/>
    <w:rsid w:val="005D70E3"/>
    <w:rsid w:val="005D7C19"/>
    <w:rsid w:val="005D7CF6"/>
    <w:rsid w:val="005E03AB"/>
    <w:rsid w:val="005E0490"/>
    <w:rsid w:val="005E05AE"/>
    <w:rsid w:val="005E1C65"/>
    <w:rsid w:val="005E1E6B"/>
    <w:rsid w:val="005E21B5"/>
    <w:rsid w:val="005E245D"/>
    <w:rsid w:val="005E303D"/>
    <w:rsid w:val="005E363A"/>
    <w:rsid w:val="005E385F"/>
    <w:rsid w:val="005E3A14"/>
    <w:rsid w:val="005E3F10"/>
    <w:rsid w:val="005E4E87"/>
    <w:rsid w:val="005E51A4"/>
    <w:rsid w:val="005E51D7"/>
    <w:rsid w:val="005E5AA4"/>
    <w:rsid w:val="005E5AB2"/>
    <w:rsid w:val="005E5B10"/>
    <w:rsid w:val="005E5B81"/>
    <w:rsid w:val="005E5F7A"/>
    <w:rsid w:val="005E6170"/>
    <w:rsid w:val="005E6990"/>
    <w:rsid w:val="005E7202"/>
    <w:rsid w:val="005E789E"/>
    <w:rsid w:val="005E798B"/>
    <w:rsid w:val="005E7E11"/>
    <w:rsid w:val="005E7FD0"/>
    <w:rsid w:val="005F1095"/>
    <w:rsid w:val="005F1347"/>
    <w:rsid w:val="005F195C"/>
    <w:rsid w:val="005F1A08"/>
    <w:rsid w:val="005F1A5A"/>
    <w:rsid w:val="005F1EFB"/>
    <w:rsid w:val="005F2CB1"/>
    <w:rsid w:val="005F3025"/>
    <w:rsid w:val="005F3264"/>
    <w:rsid w:val="005F32B2"/>
    <w:rsid w:val="005F33D6"/>
    <w:rsid w:val="005F4389"/>
    <w:rsid w:val="005F4710"/>
    <w:rsid w:val="005F56AF"/>
    <w:rsid w:val="005F58A5"/>
    <w:rsid w:val="005F612C"/>
    <w:rsid w:val="005F618C"/>
    <w:rsid w:val="005F65F8"/>
    <w:rsid w:val="005F6706"/>
    <w:rsid w:val="005F67B1"/>
    <w:rsid w:val="005F6C1E"/>
    <w:rsid w:val="005F6DDE"/>
    <w:rsid w:val="005F6EFF"/>
    <w:rsid w:val="005F70A8"/>
    <w:rsid w:val="005F70BD"/>
    <w:rsid w:val="005F7884"/>
    <w:rsid w:val="006006AC"/>
    <w:rsid w:val="0060098C"/>
    <w:rsid w:val="006011B6"/>
    <w:rsid w:val="00601BEF"/>
    <w:rsid w:val="0060208D"/>
    <w:rsid w:val="00602450"/>
    <w:rsid w:val="0060264B"/>
    <w:rsid w:val="0060283C"/>
    <w:rsid w:val="00602B76"/>
    <w:rsid w:val="00602D23"/>
    <w:rsid w:val="006030AC"/>
    <w:rsid w:val="0060390E"/>
    <w:rsid w:val="00603F40"/>
    <w:rsid w:val="00603F56"/>
    <w:rsid w:val="00604F14"/>
    <w:rsid w:val="00605161"/>
    <w:rsid w:val="00605791"/>
    <w:rsid w:val="00605CC4"/>
    <w:rsid w:val="00605D4E"/>
    <w:rsid w:val="00605E85"/>
    <w:rsid w:val="00606DFC"/>
    <w:rsid w:val="00606E93"/>
    <w:rsid w:val="0060736A"/>
    <w:rsid w:val="00607AC9"/>
    <w:rsid w:val="00610AC2"/>
    <w:rsid w:val="00610D29"/>
    <w:rsid w:val="00610F8C"/>
    <w:rsid w:val="00611177"/>
    <w:rsid w:val="006111D0"/>
    <w:rsid w:val="00611B83"/>
    <w:rsid w:val="00611E60"/>
    <w:rsid w:val="00611FD1"/>
    <w:rsid w:val="00612C1D"/>
    <w:rsid w:val="00612EA9"/>
    <w:rsid w:val="00612EDE"/>
    <w:rsid w:val="00613257"/>
    <w:rsid w:val="0061327D"/>
    <w:rsid w:val="00613DAE"/>
    <w:rsid w:val="00613EDE"/>
    <w:rsid w:val="006141F0"/>
    <w:rsid w:val="00614417"/>
    <w:rsid w:val="00614854"/>
    <w:rsid w:val="00614A25"/>
    <w:rsid w:val="00614C9C"/>
    <w:rsid w:val="00615133"/>
    <w:rsid w:val="00615579"/>
    <w:rsid w:val="006168A7"/>
    <w:rsid w:val="00616CFE"/>
    <w:rsid w:val="006175FA"/>
    <w:rsid w:val="00617D36"/>
    <w:rsid w:val="006202EE"/>
    <w:rsid w:val="00620A71"/>
    <w:rsid w:val="00620D80"/>
    <w:rsid w:val="00621462"/>
    <w:rsid w:val="00621502"/>
    <w:rsid w:val="0062162A"/>
    <w:rsid w:val="00621C42"/>
    <w:rsid w:val="00621F46"/>
    <w:rsid w:val="00621F8A"/>
    <w:rsid w:val="00622593"/>
    <w:rsid w:val="006225BB"/>
    <w:rsid w:val="00623263"/>
    <w:rsid w:val="006233AC"/>
    <w:rsid w:val="00623419"/>
    <w:rsid w:val="006234A6"/>
    <w:rsid w:val="0062363A"/>
    <w:rsid w:val="00623C6F"/>
    <w:rsid w:val="0062411F"/>
    <w:rsid w:val="006241F4"/>
    <w:rsid w:val="00625046"/>
    <w:rsid w:val="00625747"/>
    <w:rsid w:val="00625793"/>
    <w:rsid w:val="00625A3B"/>
    <w:rsid w:val="00625A94"/>
    <w:rsid w:val="00625A95"/>
    <w:rsid w:val="00625B6A"/>
    <w:rsid w:val="00625CED"/>
    <w:rsid w:val="00625EF9"/>
    <w:rsid w:val="00626014"/>
    <w:rsid w:val="00626126"/>
    <w:rsid w:val="006264DA"/>
    <w:rsid w:val="0062661E"/>
    <w:rsid w:val="00626976"/>
    <w:rsid w:val="006269A8"/>
    <w:rsid w:val="00626BCA"/>
    <w:rsid w:val="00626D03"/>
    <w:rsid w:val="00627582"/>
    <w:rsid w:val="00627751"/>
    <w:rsid w:val="00627986"/>
    <w:rsid w:val="00630001"/>
    <w:rsid w:val="006302F9"/>
    <w:rsid w:val="00630567"/>
    <w:rsid w:val="006308D6"/>
    <w:rsid w:val="00630C1E"/>
    <w:rsid w:val="00630C90"/>
    <w:rsid w:val="006311B3"/>
    <w:rsid w:val="00631ABA"/>
    <w:rsid w:val="00631D99"/>
    <w:rsid w:val="00631EC6"/>
    <w:rsid w:val="006320F5"/>
    <w:rsid w:val="0063218D"/>
    <w:rsid w:val="0063284C"/>
    <w:rsid w:val="00632C89"/>
    <w:rsid w:val="006333B4"/>
    <w:rsid w:val="00633732"/>
    <w:rsid w:val="00634057"/>
    <w:rsid w:val="006349FA"/>
    <w:rsid w:val="0063509D"/>
    <w:rsid w:val="00635947"/>
    <w:rsid w:val="00636332"/>
    <w:rsid w:val="00636397"/>
    <w:rsid w:val="00636398"/>
    <w:rsid w:val="006364CE"/>
    <w:rsid w:val="006368D3"/>
    <w:rsid w:val="00636B12"/>
    <w:rsid w:val="00636B72"/>
    <w:rsid w:val="0063714D"/>
    <w:rsid w:val="006377C2"/>
    <w:rsid w:val="006377EC"/>
    <w:rsid w:val="006379E0"/>
    <w:rsid w:val="00640002"/>
    <w:rsid w:val="00640281"/>
    <w:rsid w:val="00640394"/>
    <w:rsid w:val="00640DEC"/>
    <w:rsid w:val="0064142B"/>
    <w:rsid w:val="006414AB"/>
    <w:rsid w:val="0064151F"/>
    <w:rsid w:val="00641533"/>
    <w:rsid w:val="00641A6B"/>
    <w:rsid w:val="00641A82"/>
    <w:rsid w:val="00641B2C"/>
    <w:rsid w:val="00642015"/>
    <w:rsid w:val="0064208D"/>
    <w:rsid w:val="00642114"/>
    <w:rsid w:val="006424A1"/>
    <w:rsid w:val="006427DC"/>
    <w:rsid w:val="00642E8A"/>
    <w:rsid w:val="00642E9D"/>
    <w:rsid w:val="0064309D"/>
    <w:rsid w:val="00643475"/>
    <w:rsid w:val="0064367F"/>
    <w:rsid w:val="0064396A"/>
    <w:rsid w:val="00643C72"/>
    <w:rsid w:val="00643C74"/>
    <w:rsid w:val="00643F7B"/>
    <w:rsid w:val="006447C3"/>
    <w:rsid w:val="00644A4A"/>
    <w:rsid w:val="006453E3"/>
    <w:rsid w:val="006454D3"/>
    <w:rsid w:val="00645F7C"/>
    <w:rsid w:val="0064624E"/>
    <w:rsid w:val="00646696"/>
    <w:rsid w:val="00646EE9"/>
    <w:rsid w:val="006478A7"/>
    <w:rsid w:val="00647C2F"/>
    <w:rsid w:val="00650090"/>
    <w:rsid w:val="0065025D"/>
    <w:rsid w:val="0065042E"/>
    <w:rsid w:val="00650495"/>
    <w:rsid w:val="006508AC"/>
    <w:rsid w:val="00650AB9"/>
    <w:rsid w:val="00650CD3"/>
    <w:rsid w:val="00650EC0"/>
    <w:rsid w:val="00650F1A"/>
    <w:rsid w:val="0065128E"/>
    <w:rsid w:val="00651335"/>
    <w:rsid w:val="0065193A"/>
    <w:rsid w:val="00651DCA"/>
    <w:rsid w:val="00651E43"/>
    <w:rsid w:val="006524F2"/>
    <w:rsid w:val="006527DA"/>
    <w:rsid w:val="00652A70"/>
    <w:rsid w:val="00653230"/>
    <w:rsid w:val="006534CE"/>
    <w:rsid w:val="0065350E"/>
    <w:rsid w:val="00653517"/>
    <w:rsid w:val="00653AE5"/>
    <w:rsid w:val="00653DA9"/>
    <w:rsid w:val="006543E2"/>
    <w:rsid w:val="00654F82"/>
    <w:rsid w:val="00655733"/>
    <w:rsid w:val="00655ACD"/>
    <w:rsid w:val="00655C44"/>
    <w:rsid w:val="00655F6A"/>
    <w:rsid w:val="006561C8"/>
    <w:rsid w:val="00656444"/>
    <w:rsid w:val="00656605"/>
    <w:rsid w:val="0065664D"/>
    <w:rsid w:val="00656A19"/>
    <w:rsid w:val="00656A92"/>
    <w:rsid w:val="00656B6B"/>
    <w:rsid w:val="00656DDE"/>
    <w:rsid w:val="006570A4"/>
    <w:rsid w:val="00657115"/>
    <w:rsid w:val="006575AD"/>
    <w:rsid w:val="00657A1B"/>
    <w:rsid w:val="00657D30"/>
    <w:rsid w:val="00657D7B"/>
    <w:rsid w:val="0066011D"/>
    <w:rsid w:val="006606C7"/>
    <w:rsid w:val="006607C0"/>
    <w:rsid w:val="00660B4A"/>
    <w:rsid w:val="00660F1F"/>
    <w:rsid w:val="00661396"/>
    <w:rsid w:val="006613A6"/>
    <w:rsid w:val="00661ECE"/>
    <w:rsid w:val="00661FE2"/>
    <w:rsid w:val="006627A2"/>
    <w:rsid w:val="00662E2B"/>
    <w:rsid w:val="006634E6"/>
    <w:rsid w:val="00663522"/>
    <w:rsid w:val="006637BA"/>
    <w:rsid w:val="00663936"/>
    <w:rsid w:val="00664B14"/>
    <w:rsid w:val="00665551"/>
    <w:rsid w:val="006655EE"/>
    <w:rsid w:val="006656AE"/>
    <w:rsid w:val="00665A7F"/>
    <w:rsid w:val="00665E02"/>
    <w:rsid w:val="006660E2"/>
    <w:rsid w:val="0066610B"/>
    <w:rsid w:val="00666507"/>
    <w:rsid w:val="006666F3"/>
    <w:rsid w:val="00666743"/>
    <w:rsid w:val="00666A91"/>
    <w:rsid w:val="00666F8A"/>
    <w:rsid w:val="006670E7"/>
    <w:rsid w:val="00667DC3"/>
    <w:rsid w:val="00667EE7"/>
    <w:rsid w:val="00670812"/>
    <w:rsid w:val="00670922"/>
    <w:rsid w:val="00670BE1"/>
    <w:rsid w:val="00670E6A"/>
    <w:rsid w:val="00671040"/>
    <w:rsid w:val="006717AF"/>
    <w:rsid w:val="00671DEE"/>
    <w:rsid w:val="00672009"/>
    <w:rsid w:val="0067218F"/>
    <w:rsid w:val="00672BA7"/>
    <w:rsid w:val="00673B62"/>
    <w:rsid w:val="00673DCC"/>
    <w:rsid w:val="006741F2"/>
    <w:rsid w:val="00674348"/>
    <w:rsid w:val="00674544"/>
    <w:rsid w:val="006746C5"/>
    <w:rsid w:val="00674CC3"/>
    <w:rsid w:val="00674E7B"/>
    <w:rsid w:val="00674F3D"/>
    <w:rsid w:val="0067569F"/>
    <w:rsid w:val="006759F8"/>
    <w:rsid w:val="00675BEB"/>
    <w:rsid w:val="00675C72"/>
    <w:rsid w:val="00675D65"/>
    <w:rsid w:val="00676031"/>
    <w:rsid w:val="00676F6F"/>
    <w:rsid w:val="00676FFD"/>
    <w:rsid w:val="006770A4"/>
    <w:rsid w:val="006770EB"/>
    <w:rsid w:val="006771F9"/>
    <w:rsid w:val="006776D7"/>
    <w:rsid w:val="00677ACE"/>
    <w:rsid w:val="0068053F"/>
    <w:rsid w:val="006807BB"/>
    <w:rsid w:val="00680C24"/>
    <w:rsid w:val="00680E31"/>
    <w:rsid w:val="00680E8E"/>
    <w:rsid w:val="00680F77"/>
    <w:rsid w:val="00681003"/>
    <w:rsid w:val="00681570"/>
    <w:rsid w:val="006817C9"/>
    <w:rsid w:val="0068202C"/>
    <w:rsid w:val="00682B8C"/>
    <w:rsid w:val="00682E29"/>
    <w:rsid w:val="0068312B"/>
    <w:rsid w:val="0068349D"/>
    <w:rsid w:val="00683ACC"/>
    <w:rsid w:val="00683DD7"/>
    <w:rsid w:val="00683ECE"/>
    <w:rsid w:val="006842F3"/>
    <w:rsid w:val="006843B3"/>
    <w:rsid w:val="00684E59"/>
    <w:rsid w:val="0068500F"/>
    <w:rsid w:val="0068556D"/>
    <w:rsid w:val="006855C7"/>
    <w:rsid w:val="00685F4C"/>
    <w:rsid w:val="0068617A"/>
    <w:rsid w:val="006865DE"/>
    <w:rsid w:val="00686D0E"/>
    <w:rsid w:val="00687170"/>
    <w:rsid w:val="00687197"/>
    <w:rsid w:val="00687292"/>
    <w:rsid w:val="00687F2E"/>
    <w:rsid w:val="00687FD8"/>
    <w:rsid w:val="0069035D"/>
    <w:rsid w:val="006906A1"/>
    <w:rsid w:val="006907F6"/>
    <w:rsid w:val="006908D9"/>
    <w:rsid w:val="00690F57"/>
    <w:rsid w:val="006916EA"/>
    <w:rsid w:val="00692A0C"/>
    <w:rsid w:val="00692AD2"/>
    <w:rsid w:val="00692EF0"/>
    <w:rsid w:val="00693963"/>
    <w:rsid w:val="006940AF"/>
    <w:rsid w:val="006949A7"/>
    <w:rsid w:val="006954BC"/>
    <w:rsid w:val="00695E95"/>
    <w:rsid w:val="00695FC2"/>
    <w:rsid w:val="00696949"/>
    <w:rsid w:val="00696C31"/>
    <w:rsid w:val="00696E40"/>
    <w:rsid w:val="00697052"/>
    <w:rsid w:val="00697D23"/>
    <w:rsid w:val="00697E53"/>
    <w:rsid w:val="006A0487"/>
    <w:rsid w:val="006A13B8"/>
    <w:rsid w:val="006A195D"/>
    <w:rsid w:val="006A1A5D"/>
    <w:rsid w:val="006A1A70"/>
    <w:rsid w:val="006A1BED"/>
    <w:rsid w:val="006A1D29"/>
    <w:rsid w:val="006A1D92"/>
    <w:rsid w:val="006A20D4"/>
    <w:rsid w:val="006A256A"/>
    <w:rsid w:val="006A2C23"/>
    <w:rsid w:val="006A310B"/>
    <w:rsid w:val="006A3298"/>
    <w:rsid w:val="006A374F"/>
    <w:rsid w:val="006A40C6"/>
    <w:rsid w:val="006A4402"/>
    <w:rsid w:val="006A46FB"/>
    <w:rsid w:val="006A4719"/>
    <w:rsid w:val="006A4BDE"/>
    <w:rsid w:val="006A5219"/>
    <w:rsid w:val="006A5336"/>
    <w:rsid w:val="006A533A"/>
    <w:rsid w:val="006A591C"/>
    <w:rsid w:val="006A5D19"/>
    <w:rsid w:val="006A5E28"/>
    <w:rsid w:val="006A697B"/>
    <w:rsid w:val="006A6ABE"/>
    <w:rsid w:val="006A6D2B"/>
    <w:rsid w:val="006A75D3"/>
    <w:rsid w:val="006A79D5"/>
    <w:rsid w:val="006A7AFF"/>
    <w:rsid w:val="006A7CBB"/>
    <w:rsid w:val="006A7D36"/>
    <w:rsid w:val="006B01E9"/>
    <w:rsid w:val="006B01F3"/>
    <w:rsid w:val="006B03AE"/>
    <w:rsid w:val="006B089D"/>
    <w:rsid w:val="006B109C"/>
    <w:rsid w:val="006B1341"/>
    <w:rsid w:val="006B1755"/>
    <w:rsid w:val="006B1816"/>
    <w:rsid w:val="006B182E"/>
    <w:rsid w:val="006B1A16"/>
    <w:rsid w:val="006B1E60"/>
    <w:rsid w:val="006B1EF6"/>
    <w:rsid w:val="006B1F1E"/>
    <w:rsid w:val="006B2001"/>
    <w:rsid w:val="006B2099"/>
    <w:rsid w:val="006B215C"/>
    <w:rsid w:val="006B2352"/>
    <w:rsid w:val="006B23FC"/>
    <w:rsid w:val="006B3963"/>
    <w:rsid w:val="006B3C52"/>
    <w:rsid w:val="006B3D30"/>
    <w:rsid w:val="006B3E28"/>
    <w:rsid w:val="006B4461"/>
    <w:rsid w:val="006B496E"/>
    <w:rsid w:val="006B4F05"/>
    <w:rsid w:val="006B50CF"/>
    <w:rsid w:val="006B543C"/>
    <w:rsid w:val="006B547B"/>
    <w:rsid w:val="006B5708"/>
    <w:rsid w:val="006B61D2"/>
    <w:rsid w:val="006B638A"/>
    <w:rsid w:val="006B6AEE"/>
    <w:rsid w:val="006B750A"/>
    <w:rsid w:val="006B7AC8"/>
    <w:rsid w:val="006C01BF"/>
    <w:rsid w:val="006C03B8"/>
    <w:rsid w:val="006C04AB"/>
    <w:rsid w:val="006C05E5"/>
    <w:rsid w:val="006C0E56"/>
    <w:rsid w:val="006C0EA9"/>
    <w:rsid w:val="006C15B6"/>
    <w:rsid w:val="006C17AE"/>
    <w:rsid w:val="006C2004"/>
    <w:rsid w:val="006C2173"/>
    <w:rsid w:val="006C28CC"/>
    <w:rsid w:val="006C2AB1"/>
    <w:rsid w:val="006C2B94"/>
    <w:rsid w:val="006C2FF6"/>
    <w:rsid w:val="006C3499"/>
    <w:rsid w:val="006C377C"/>
    <w:rsid w:val="006C3A46"/>
    <w:rsid w:val="006C3A59"/>
    <w:rsid w:val="006C3F7D"/>
    <w:rsid w:val="006C4783"/>
    <w:rsid w:val="006C4B4F"/>
    <w:rsid w:val="006C552B"/>
    <w:rsid w:val="006C5E12"/>
    <w:rsid w:val="006C5EC9"/>
    <w:rsid w:val="006C5FA5"/>
    <w:rsid w:val="006C6059"/>
    <w:rsid w:val="006C6789"/>
    <w:rsid w:val="006C6DC1"/>
    <w:rsid w:val="006C6E41"/>
    <w:rsid w:val="006C6F83"/>
    <w:rsid w:val="006C70C8"/>
    <w:rsid w:val="006C749F"/>
    <w:rsid w:val="006C7522"/>
    <w:rsid w:val="006C75C7"/>
    <w:rsid w:val="006C7952"/>
    <w:rsid w:val="006D0298"/>
    <w:rsid w:val="006D052E"/>
    <w:rsid w:val="006D0878"/>
    <w:rsid w:val="006D11E3"/>
    <w:rsid w:val="006D12CF"/>
    <w:rsid w:val="006D178A"/>
    <w:rsid w:val="006D1A13"/>
    <w:rsid w:val="006D1A83"/>
    <w:rsid w:val="006D20AE"/>
    <w:rsid w:val="006D2D43"/>
    <w:rsid w:val="006D30F1"/>
    <w:rsid w:val="006D320C"/>
    <w:rsid w:val="006D330F"/>
    <w:rsid w:val="006D33A0"/>
    <w:rsid w:val="006D34B0"/>
    <w:rsid w:val="006D35D9"/>
    <w:rsid w:val="006D3CAD"/>
    <w:rsid w:val="006D3D0F"/>
    <w:rsid w:val="006D3FC7"/>
    <w:rsid w:val="006D4228"/>
    <w:rsid w:val="006D4341"/>
    <w:rsid w:val="006D43A0"/>
    <w:rsid w:val="006D4A41"/>
    <w:rsid w:val="006D4D4F"/>
    <w:rsid w:val="006D4D6B"/>
    <w:rsid w:val="006D5AF7"/>
    <w:rsid w:val="006D5EAD"/>
    <w:rsid w:val="006D6207"/>
    <w:rsid w:val="006D6313"/>
    <w:rsid w:val="006D6F08"/>
    <w:rsid w:val="006D779B"/>
    <w:rsid w:val="006D781D"/>
    <w:rsid w:val="006D79D2"/>
    <w:rsid w:val="006D7C88"/>
    <w:rsid w:val="006D7F0A"/>
    <w:rsid w:val="006E0112"/>
    <w:rsid w:val="006E0427"/>
    <w:rsid w:val="006E062C"/>
    <w:rsid w:val="006E07CB"/>
    <w:rsid w:val="006E0BCA"/>
    <w:rsid w:val="006E0D23"/>
    <w:rsid w:val="006E1526"/>
    <w:rsid w:val="006E181F"/>
    <w:rsid w:val="006E190A"/>
    <w:rsid w:val="006E1C82"/>
    <w:rsid w:val="006E2048"/>
    <w:rsid w:val="006E2176"/>
    <w:rsid w:val="006E28B7"/>
    <w:rsid w:val="006E2A9B"/>
    <w:rsid w:val="006E2AC1"/>
    <w:rsid w:val="006E3061"/>
    <w:rsid w:val="006E3310"/>
    <w:rsid w:val="006E3936"/>
    <w:rsid w:val="006E3C0D"/>
    <w:rsid w:val="006E4D72"/>
    <w:rsid w:val="006E4E39"/>
    <w:rsid w:val="006E4F96"/>
    <w:rsid w:val="006E5069"/>
    <w:rsid w:val="006E5190"/>
    <w:rsid w:val="006E51C5"/>
    <w:rsid w:val="006E565E"/>
    <w:rsid w:val="006E573F"/>
    <w:rsid w:val="006E5E63"/>
    <w:rsid w:val="006E6155"/>
    <w:rsid w:val="006E673D"/>
    <w:rsid w:val="006E6E91"/>
    <w:rsid w:val="006E742F"/>
    <w:rsid w:val="006E7D3B"/>
    <w:rsid w:val="006E7E56"/>
    <w:rsid w:val="006E7E5B"/>
    <w:rsid w:val="006F0F0D"/>
    <w:rsid w:val="006F104D"/>
    <w:rsid w:val="006F161B"/>
    <w:rsid w:val="006F1B70"/>
    <w:rsid w:val="006F1EFC"/>
    <w:rsid w:val="006F2026"/>
    <w:rsid w:val="006F2459"/>
    <w:rsid w:val="006F2E8E"/>
    <w:rsid w:val="006F341D"/>
    <w:rsid w:val="006F3617"/>
    <w:rsid w:val="006F373C"/>
    <w:rsid w:val="006F3CDE"/>
    <w:rsid w:val="006F4168"/>
    <w:rsid w:val="006F4581"/>
    <w:rsid w:val="006F4A61"/>
    <w:rsid w:val="006F4C93"/>
    <w:rsid w:val="006F5821"/>
    <w:rsid w:val="006F58B6"/>
    <w:rsid w:val="006F58D4"/>
    <w:rsid w:val="006F5965"/>
    <w:rsid w:val="006F6582"/>
    <w:rsid w:val="006F6DD0"/>
    <w:rsid w:val="006F7439"/>
    <w:rsid w:val="006F7AF9"/>
    <w:rsid w:val="00700428"/>
    <w:rsid w:val="007005FD"/>
    <w:rsid w:val="007007DD"/>
    <w:rsid w:val="00701158"/>
    <w:rsid w:val="007011B4"/>
    <w:rsid w:val="0070129E"/>
    <w:rsid w:val="00701570"/>
    <w:rsid w:val="00701C3D"/>
    <w:rsid w:val="00701C53"/>
    <w:rsid w:val="00701D54"/>
    <w:rsid w:val="007021EA"/>
    <w:rsid w:val="007026E2"/>
    <w:rsid w:val="00702EC7"/>
    <w:rsid w:val="0070346E"/>
    <w:rsid w:val="007034E9"/>
    <w:rsid w:val="007035CD"/>
    <w:rsid w:val="00703802"/>
    <w:rsid w:val="00703A04"/>
    <w:rsid w:val="00703BA9"/>
    <w:rsid w:val="00703F4D"/>
    <w:rsid w:val="00704A7A"/>
    <w:rsid w:val="00704B1F"/>
    <w:rsid w:val="00704D5E"/>
    <w:rsid w:val="00704EDB"/>
    <w:rsid w:val="0070520E"/>
    <w:rsid w:val="0070586E"/>
    <w:rsid w:val="00705997"/>
    <w:rsid w:val="00705AF2"/>
    <w:rsid w:val="00705B6D"/>
    <w:rsid w:val="00705CDC"/>
    <w:rsid w:val="00706101"/>
    <w:rsid w:val="007064B0"/>
    <w:rsid w:val="00706567"/>
    <w:rsid w:val="00706602"/>
    <w:rsid w:val="00707072"/>
    <w:rsid w:val="0070723A"/>
    <w:rsid w:val="007077E4"/>
    <w:rsid w:val="00707D61"/>
    <w:rsid w:val="007100DD"/>
    <w:rsid w:val="00710163"/>
    <w:rsid w:val="00712287"/>
    <w:rsid w:val="00712772"/>
    <w:rsid w:val="00712A1B"/>
    <w:rsid w:val="00712DA3"/>
    <w:rsid w:val="00712FC9"/>
    <w:rsid w:val="00713097"/>
    <w:rsid w:val="00713303"/>
    <w:rsid w:val="0071331C"/>
    <w:rsid w:val="00713567"/>
    <w:rsid w:val="007148D3"/>
    <w:rsid w:val="0071490B"/>
    <w:rsid w:val="0071571A"/>
    <w:rsid w:val="00715B9A"/>
    <w:rsid w:val="00716BA9"/>
    <w:rsid w:val="007172C5"/>
    <w:rsid w:val="00717371"/>
    <w:rsid w:val="007173EB"/>
    <w:rsid w:val="00717A4D"/>
    <w:rsid w:val="00717FF0"/>
    <w:rsid w:val="007204CF"/>
    <w:rsid w:val="00721192"/>
    <w:rsid w:val="0072169B"/>
    <w:rsid w:val="00721B32"/>
    <w:rsid w:val="00721BFA"/>
    <w:rsid w:val="00722BCB"/>
    <w:rsid w:val="007238F1"/>
    <w:rsid w:val="007244B8"/>
    <w:rsid w:val="00724836"/>
    <w:rsid w:val="00724D8C"/>
    <w:rsid w:val="00725558"/>
    <w:rsid w:val="007257D0"/>
    <w:rsid w:val="00725955"/>
    <w:rsid w:val="00725C0D"/>
    <w:rsid w:val="00725FA8"/>
    <w:rsid w:val="00726251"/>
    <w:rsid w:val="0072682D"/>
    <w:rsid w:val="00726D02"/>
    <w:rsid w:val="00726EA6"/>
    <w:rsid w:val="00727208"/>
    <w:rsid w:val="00727680"/>
    <w:rsid w:val="00727827"/>
    <w:rsid w:val="00727B7D"/>
    <w:rsid w:val="007303DA"/>
    <w:rsid w:val="00731894"/>
    <w:rsid w:val="00731D14"/>
    <w:rsid w:val="007329BC"/>
    <w:rsid w:val="00732B9F"/>
    <w:rsid w:val="00733B9B"/>
    <w:rsid w:val="00734006"/>
    <w:rsid w:val="00734383"/>
    <w:rsid w:val="007348B1"/>
    <w:rsid w:val="0073493D"/>
    <w:rsid w:val="00734CBC"/>
    <w:rsid w:val="007352A8"/>
    <w:rsid w:val="00736294"/>
    <w:rsid w:val="007362A6"/>
    <w:rsid w:val="00736381"/>
    <w:rsid w:val="007367A8"/>
    <w:rsid w:val="00736D7D"/>
    <w:rsid w:val="007373C4"/>
    <w:rsid w:val="00740027"/>
    <w:rsid w:val="00740173"/>
    <w:rsid w:val="007401B6"/>
    <w:rsid w:val="00740A19"/>
    <w:rsid w:val="00740E58"/>
    <w:rsid w:val="00741272"/>
    <w:rsid w:val="007419DF"/>
    <w:rsid w:val="00741EC5"/>
    <w:rsid w:val="0074241C"/>
    <w:rsid w:val="007427F1"/>
    <w:rsid w:val="007433D0"/>
    <w:rsid w:val="00743581"/>
    <w:rsid w:val="007436F7"/>
    <w:rsid w:val="0074376F"/>
    <w:rsid w:val="007437A1"/>
    <w:rsid w:val="007445A0"/>
    <w:rsid w:val="00744859"/>
    <w:rsid w:val="00744F75"/>
    <w:rsid w:val="00744FA9"/>
    <w:rsid w:val="0074524B"/>
    <w:rsid w:val="00745379"/>
    <w:rsid w:val="007457F9"/>
    <w:rsid w:val="00745E83"/>
    <w:rsid w:val="0074623C"/>
    <w:rsid w:val="007469CA"/>
    <w:rsid w:val="0074724C"/>
    <w:rsid w:val="007478F0"/>
    <w:rsid w:val="0074793E"/>
    <w:rsid w:val="00747D8B"/>
    <w:rsid w:val="00747F10"/>
    <w:rsid w:val="00750136"/>
    <w:rsid w:val="007502E7"/>
    <w:rsid w:val="00750D2A"/>
    <w:rsid w:val="00750F3C"/>
    <w:rsid w:val="00751140"/>
    <w:rsid w:val="00751228"/>
    <w:rsid w:val="007512F9"/>
    <w:rsid w:val="007517F0"/>
    <w:rsid w:val="007519EB"/>
    <w:rsid w:val="00753C74"/>
    <w:rsid w:val="00753CDE"/>
    <w:rsid w:val="0075413E"/>
    <w:rsid w:val="0075454B"/>
    <w:rsid w:val="00754A24"/>
    <w:rsid w:val="00755408"/>
    <w:rsid w:val="00755A46"/>
    <w:rsid w:val="00755A87"/>
    <w:rsid w:val="00755AFC"/>
    <w:rsid w:val="00755C98"/>
    <w:rsid w:val="00756067"/>
    <w:rsid w:val="0075636E"/>
    <w:rsid w:val="0075655C"/>
    <w:rsid w:val="00756A68"/>
    <w:rsid w:val="00756C45"/>
    <w:rsid w:val="00756D10"/>
    <w:rsid w:val="007571E1"/>
    <w:rsid w:val="007572DD"/>
    <w:rsid w:val="00757A03"/>
    <w:rsid w:val="00757D10"/>
    <w:rsid w:val="007604B2"/>
    <w:rsid w:val="00761414"/>
    <w:rsid w:val="00761D2E"/>
    <w:rsid w:val="00761FC3"/>
    <w:rsid w:val="00763266"/>
    <w:rsid w:val="00763A08"/>
    <w:rsid w:val="00763BED"/>
    <w:rsid w:val="00763E94"/>
    <w:rsid w:val="00763EFA"/>
    <w:rsid w:val="00764FB6"/>
    <w:rsid w:val="00765281"/>
    <w:rsid w:val="00765DEA"/>
    <w:rsid w:val="007661CE"/>
    <w:rsid w:val="00766A6B"/>
    <w:rsid w:val="00766BAD"/>
    <w:rsid w:val="00766CF6"/>
    <w:rsid w:val="00767328"/>
    <w:rsid w:val="00767444"/>
    <w:rsid w:val="00767459"/>
    <w:rsid w:val="00767950"/>
    <w:rsid w:val="007702D2"/>
    <w:rsid w:val="007705D3"/>
    <w:rsid w:val="007708DC"/>
    <w:rsid w:val="00770B68"/>
    <w:rsid w:val="00770CDD"/>
    <w:rsid w:val="007717E1"/>
    <w:rsid w:val="007719A6"/>
    <w:rsid w:val="00771AEB"/>
    <w:rsid w:val="00771C2B"/>
    <w:rsid w:val="007725C6"/>
    <w:rsid w:val="007729A2"/>
    <w:rsid w:val="00772B62"/>
    <w:rsid w:val="00772F1D"/>
    <w:rsid w:val="00773A2B"/>
    <w:rsid w:val="0077441C"/>
    <w:rsid w:val="007748AF"/>
    <w:rsid w:val="007750E3"/>
    <w:rsid w:val="00775531"/>
    <w:rsid w:val="007755F2"/>
    <w:rsid w:val="0077641C"/>
    <w:rsid w:val="00776971"/>
    <w:rsid w:val="0077767D"/>
    <w:rsid w:val="0077790F"/>
    <w:rsid w:val="00777CC5"/>
    <w:rsid w:val="00780831"/>
    <w:rsid w:val="00780A80"/>
    <w:rsid w:val="0078177E"/>
    <w:rsid w:val="00782206"/>
    <w:rsid w:val="00782A6A"/>
    <w:rsid w:val="00782C02"/>
    <w:rsid w:val="00782E59"/>
    <w:rsid w:val="00782FBB"/>
    <w:rsid w:val="0078304C"/>
    <w:rsid w:val="00783673"/>
    <w:rsid w:val="0078411E"/>
    <w:rsid w:val="007847AA"/>
    <w:rsid w:val="00785290"/>
    <w:rsid w:val="00785490"/>
    <w:rsid w:val="007867C4"/>
    <w:rsid w:val="00787603"/>
    <w:rsid w:val="007876F0"/>
    <w:rsid w:val="00787CC2"/>
    <w:rsid w:val="007904B6"/>
    <w:rsid w:val="007909C1"/>
    <w:rsid w:val="00790BD3"/>
    <w:rsid w:val="00790D92"/>
    <w:rsid w:val="00790FD2"/>
    <w:rsid w:val="007911B1"/>
    <w:rsid w:val="007917A9"/>
    <w:rsid w:val="007919B9"/>
    <w:rsid w:val="00791BDF"/>
    <w:rsid w:val="00792115"/>
    <w:rsid w:val="007925EA"/>
    <w:rsid w:val="007927C5"/>
    <w:rsid w:val="00792BB5"/>
    <w:rsid w:val="00792D37"/>
    <w:rsid w:val="00792F7C"/>
    <w:rsid w:val="007932AF"/>
    <w:rsid w:val="0079356F"/>
    <w:rsid w:val="007935EC"/>
    <w:rsid w:val="007938B7"/>
    <w:rsid w:val="00793CD8"/>
    <w:rsid w:val="0079463C"/>
    <w:rsid w:val="00794AF3"/>
    <w:rsid w:val="00794B48"/>
    <w:rsid w:val="00794D91"/>
    <w:rsid w:val="00794FCC"/>
    <w:rsid w:val="007950B9"/>
    <w:rsid w:val="00795C92"/>
    <w:rsid w:val="00795CB9"/>
    <w:rsid w:val="00796231"/>
    <w:rsid w:val="00796378"/>
    <w:rsid w:val="00796EAB"/>
    <w:rsid w:val="007970A7"/>
    <w:rsid w:val="007974D3"/>
    <w:rsid w:val="00797714"/>
    <w:rsid w:val="00797A1E"/>
    <w:rsid w:val="007A035F"/>
    <w:rsid w:val="007A1C6B"/>
    <w:rsid w:val="007A1CB3"/>
    <w:rsid w:val="007A1E21"/>
    <w:rsid w:val="007A24CC"/>
    <w:rsid w:val="007A258C"/>
    <w:rsid w:val="007A29A6"/>
    <w:rsid w:val="007A2E13"/>
    <w:rsid w:val="007A306F"/>
    <w:rsid w:val="007A3264"/>
    <w:rsid w:val="007A3BD3"/>
    <w:rsid w:val="007A43A6"/>
    <w:rsid w:val="007A44B6"/>
    <w:rsid w:val="007A4DBD"/>
    <w:rsid w:val="007A54CD"/>
    <w:rsid w:val="007A5677"/>
    <w:rsid w:val="007A5771"/>
    <w:rsid w:val="007A58A6"/>
    <w:rsid w:val="007A59E8"/>
    <w:rsid w:val="007A5B7E"/>
    <w:rsid w:val="007A78E0"/>
    <w:rsid w:val="007A7AE9"/>
    <w:rsid w:val="007A7B0D"/>
    <w:rsid w:val="007B042B"/>
    <w:rsid w:val="007B0598"/>
    <w:rsid w:val="007B0DE2"/>
    <w:rsid w:val="007B10A9"/>
    <w:rsid w:val="007B2311"/>
    <w:rsid w:val="007B265C"/>
    <w:rsid w:val="007B2D7E"/>
    <w:rsid w:val="007B2F99"/>
    <w:rsid w:val="007B3112"/>
    <w:rsid w:val="007B344F"/>
    <w:rsid w:val="007B3621"/>
    <w:rsid w:val="007B3D2D"/>
    <w:rsid w:val="007B3DE6"/>
    <w:rsid w:val="007B3EF3"/>
    <w:rsid w:val="007B4421"/>
    <w:rsid w:val="007B4EF7"/>
    <w:rsid w:val="007B50AE"/>
    <w:rsid w:val="007B51DF"/>
    <w:rsid w:val="007B5869"/>
    <w:rsid w:val="007B59F0"/>
    <w:rsid w:val="007B5F67"/>
    <w:rsid w:val="007B631E"/>
    <w:rsid w:val="007B642D"/>
    <w:rsid w:val="007B73A5"/>
    <w:rsid w:val="007B74F5"/>
    <w:rsid w:val="007B76F8"/>
    <w:rsid w:val="007B7881"/>
    <w:rsid w:val="007B79F7"/>
    <w:rsid w:val="007B7D2D"/>
    <w:rsid w:val="007B7E09"/>
    <w:rsid w:val="007C05DD"/>
    <w:rsid w:val="007C0609"/>
    <w:rsid w:val="007C0FEF"/>
    <w:rsid w:val="007C23D0"/>
    <w:rsid w:val="007C25FF"/>
    <w:rsid w:val="007C2A64"/>
    <w:rsid w:val="007C2B5C"/>
    <w:rsid w:val="007C31D2"/>
    <w:rsid w:val="007C386B"/>
    <w:rsid w:val="007C3D18"/>
    <w:rsid w:val="007C4416"/>
    <w:rsid w:val="007C4428"/>
    <w:rsid w:val="007C4BB2"/>
    <w:rsid w:val="007C4F39"/>
    <w:rsid w:val="007C512A"/>
    <w:rsid w:val="007C5B16"/>
    <w:rsid w:val="007C6041"/>
    <w:rsid w:val="007C60BF"/>
    <w:rsid w:val="007C65E0"/>
    <w:rsid w:val="007C6A07"/>
    <w:rsid w:val="007C6B7B"/>
    <w:rsid w:val="007C707A"/>
    <w:rsid w:val="007C736D"/>
    <w:rsid w:val="007C75A1"/>
    <w:rsid w:val="007C77A5"/>
    <w:rsid w:val="007C7ACB"/>
    <w:rsid w:val="007C7C7E"/>
    <w:rsid w:val="007C7EF1"/>
    <w:rsid w:val="007D04E5"/>
    <w:rsid w:val="007D07B7"/>
    <w:rsid w:val="007D0C1F"/>
    <w:rsid w:val="007D0D16"/>
    <w:rsid w:val="007D0DE9"/>
    <w:rsid w:val="007D0E18"/>
    <w:rsid w:val="007D19C8"/>
    <w:rsid w:val="007D1B59"/>
    <w:rsid w:val="007D1D8F"/>
    <w:rsid w:val="007D212B"/>
    <w:rsid w:val="007D21A9"/>
    <w:rsid w:val="007D22D2"/>
    <w:rsid w:val="007D2A7B"/>
    <w:rsid w:val="007D332A"/>
    <w:rsid w:val="007D3878"/>
    <w:rsid w:val="007D38DE"/>
    <w:rsid w:val="007D4074"/>
    <w:rsid w:val="007D408A"/>
    <w:rsid w:val="007D40B6"/>
    <w:rsid w:val="007D4856"/>
    <w:rsid w:val="007D53CD"/>
    <w:rsid w:val="007D54D1"/>
    <w:rsid w:val="007D5901"/>
    <w:rsid w:val="007D65D8"/>
    <w:rsid w:val="007D6686"/>
    <w:rsid w:val="007D6BC7"/>
    <w:rsid w:val="007D6FD0"/>
    <w:rsid w:val="007D709F"/>
    <w:rsid w:val="007D7147"/>
    <w:rsid w:val="007D71AD"/>
    <w:rsid w:val="007D7526"/>
    <w:rsid w:val="007D7638"/>
    <w:rsid w:val="007D7CF1"/>
    <w:rsid w:val="007D7D0E"/>
    <w:rsid w:val="007E1171"/>
    <w:rsid w:val="007E132F"/>
    <w:rsid w:val="007E141B"/>
    <w:rsid w:val="007E17C1"/>
    <w:rsid w:val="007E295A"/>
    <w:rsid w:val="007E2C89"/>
    <w:rsid w:val="007E2DB9"/>
    <w:rsid w:val="007E2E26"/>
    <w:rsid w:val="007E38DD"/>
    <w:rsid w:val="007E39DF"/>
    <w:rsid w:val="007E3EFD"/>
    <w:rsid w:val="007E4610"/>
    <w:rsid w:val="007E4715"/>
    <w:rsid w:val="007E505B"/>
    <w:rsid w:val="007E5486"/>
    <w:rsid w:val="007E57F1"/>
    <w:rsid w:val="007E5DA6"/>
    <w:rsid w:val="007E61F5"/>
    <w:rsid w:val="007E652E"/>
    <w:rsid w:val="007E691C"/>
    <w:rsid w:val="007E6A3F"/>
    <w:rsid w:val="007E6CC9"/>
    <w:rsid w:val="007E6F52"/>
    <w:rsid w:val="007E7091"/>
    <w:rsid w:val="007E75F1"/>
    <w:rsid w:val="007E75F2"/>
    <w:rsid w:val="007E7CE1"/>
    <w:rsid w:val="007F04F0"/>
    <w:rsid w:val="007F05DA"/>
    <w:rsid w:val="007F0F84"/>
    <w:rsid w:val="007F1053"/>
    <w:rsid w:val="007F1556"/>
    <w:rsid w:val="007F1931"/>
    <w:rsid w:val="007F1AD0"/>
    <w:rsid w:val="007F1FAD"/>
    <w:rsid w:val="007F207F"/>
    <w:rsid w:val="007F25C2"/>
    <w:rsid w:val="007F2E0A"/>
    <w:rsid w:val="007F395D"/>
    <w:rsid w:val="007F3BD2"/>
    <w:rsid w:val="007F581C"/>
    <w:rsid w:val="007F5B5B"/>
    <w:rsid w:val="007F600D"/>
    <w:rsid w:val="007F600E"/>
    <w:rsid w:val="007F601A"/>
    <w:rsid w:val="007F6450"/>
    <w:rsid w:val="007F727F"/>
    <w:rsid w:val="007F7410"/>
    <w:rsid w:val="007F751A"/>
    <w:rsid w:val="007F77D8"/>
    <w:rsid w:val="007F7CD9"/>
    <w:rsid w:val="007F7DBC"/>
    <w:rsid w:val="007F7FD1"/>
    <w:rsid w:val="00800354"/>
    <w:rsid w:val="00800863"/>
    <w:rsid w:val="0080109E"/>
    <w:rsid w:val="0080118D"/>
    <w:rsid w:val="008013FF"/>
    <w:rsid w:val="00801850"/>
    <w:rsid w:val="008018BC"/>
    <w:rsid w:val="008019BD"/>
    <w:rsid w:val="00801B93"/>
    <w:rsid w:val="008020BF"/>
    <w:rsid w:val="00802262"/>
    <w:rsid w:val="008026EB"/>
    <w:rsid w:val="008026EC"/>
    <w:rsid w:val="00802AB8"/>
    <w:rsid w:val="008037ED"/>
    <w:rsid w:val="00803FAE"/>
    <w:rsid w:val="008042BC"/>
    <w:rsid w:val="00804323"/>
    <w:rsid w:val="00804FF6"/>
    <w:rsid w:val="00805134"/>
    <w:rsid w:val="00805298"/>
    <w:rsid w:val="0080559C"/>
    <w:rsid w:val="008058F7"/>
    <w:rsid w:val="00805D3F"/>
    <w:rsid w:val="0080605F"/>
    <w:rsid w:val="0080612F"/>
    <w:rsid w:val="00806298"/>
    <w:rsid w:val="00806D4A"/>
    <w:rsid w:val="00807786"/>
    <w:rsid w:val="008077E7"/>
    <w:rsid w:val="00810013"/>
    <w:rsid w:val="008103DD"/>
    <w:rsid w:val="0081088D"/>
    <w:rsid w:val="00810AAD"/>
    <w:rsid w:val="008117B5"/>
    <w:rsid w:val="00811ADB"/>
    <w:rsid w:val="00811FCB"/>
    <w:rsid w:val="0081204E"/>
    <w:rsid w:val="00812DF0"/>
    <w:rsid w:val="008135A7"/>
    <w:rsid w:val="00813AE6"/>
    <w:rsid w:val="00813D1B"/>
    <w:rsid w:val="00814115"/>
    <w:rsid w:val="00814338"/>
    <w:rsid w:val="008143C9"/>
    <w:rsid w:val="00814A50"/>
    <w:rsid w:val="00815868"/>
    <w:rsid w:val="008158D6"/>
    <w:rsid w:val="00815E3C"/>
    <w:rsid w:val="00816027"/>
    <w:rsid w:val="0081653E"/>
    <w:rsid w:val="00816A1C"/>
    <w:rsid w:val="00816A4D"/>
    <w:rsid w:val="00816C62"/>
    <w:rsid w:val="00817082"/>
    <w:rsid w:val="00817095"/>
    <w:rsid w:val="00817163"/>
    <w:rsid w:val="00817196"/>
    <w:rsid w:val="00817539"/>
    <w:rsid w:val="008208E9"/>
    <w:rsid w:val="00820966"/>
    <w:rsid w:val="00820D58"/>
    <w:rsid w:val="0082146D"/>
    <w:rsid w:val="00821820"/>
    <w:rsid w:val="00821A3F"/>
    <w:rsid w:val="0082232A"/>
    <w:rsid w:val="008227AE"/>
    <w:rsid w:val="008235DB"/>
    <w:rsid w:val="0082423B"/>
    <w:rsid w:val="008249DA"/>
    <w:rsid w:val="00824AB4"/>
    <w:rsid w:val="00824B6C"/>
    <w:rsid w:val="00825162"/>
    <w:rsid w:val="00825457"/>
    <w:rsid w:val="008256B0"/>
    <w:rsid w:val="00825C42"/>
    <w:rsid w:val="00825D25"/>
    <w:rsid w:val="00825DF5"/>
    <w:rsid w:val="00825E8C"/>
    <w:rsid w:val="008263D9"/>
    <w:rsid w:val="00826E58"/>
    <w:rsid w:val="008270CC"/>
    <w:rsid w:val="008271D0"/>
    <w:rsid w:val="00827510"/>
    <w:rsid w:val="00827964"/>
    <w:rsid w:val="00827D6F"/>
    <w:rsid w:val="00827E61"/>
    <w:rsid w:val="00830C2C"/>
    <w:rsid w:val="00831474"/>
    <w:rsid w:val="00831D90"/>
    <w:rsid w:val="00831DD5"/>
    <w:rsid w:val="00831DE4"/>
    <w:rsid w:val="008324AA"/>
    <w:rsid w:val="00832522"/>
    <w:rsid w:val="00832A71"/>
    <w:rsid w:val="00832B92"/>
    <w:rsid w:val="00832ECE"/>
    <w:rsid w:val="008331B6"/>
    <w:rsid w:val="0083387D"/>
    <w:rsid w:val="008350FD"/>
    <w:rsid w:val="00835197"/>
    <w:rsid w:val="008354DC"/>
    <w:rsid w:val="0083574A"/>
    <w:rsid w:val="00835ACC"/>
    <w:rsid w:val="00835D05"/>
    <w:rsid w:val="00835D4A"/>
    <w:rsid w:val="008361C8"/>
    <w:rsid w:val="00836C9E"/>
    <w:rsid w:val="0083704B"/>
    <w:rsid w:val="00837316"/>
    <w:rsid w:val="008376AC"/>
    <w:rsid w:val="008400EF"/>
    <w:rsid w:val="00840740"/>
    <w:rsid w:val="00841A28"/>
    <w:rsid w:val="008422D1"/>
    <w:rsid w:val="00842A31"/>
    <w:rsid w:val="008432A5"/>
    <w:rsid w:val="0084444B"/>
    <w:rsid w:val="008444E8"/>
    <w:rsid w:val="00844620"/>
    <w:rsid w:val="0084495F"/>
    <w:rsid w:val="00844E74"/>
    <w:rsid w:val="00844E80"/>
    <w:rsid w:val="00844F93"/>
    <w:rsid w:val="00844FD4"/>
    <w:rsid w:val="0084505F"/>
    <w:rsid w:val="00845227"/>
    <w:rsid w:val="0084545D"/>
    <w:rsid w:val="00845831"/>
    <w:rsid w:val="008463E4"/>
    <w:rsid w:val="00846F83"/>
    <w:rsid w:val="00846FE7"/>
    <w:rsid w:val="0084729A"/>
    <w:rsid w:val="008501D5"/>
    <w:rsid w:val="0085075E"/>
    <w:rsid w:val="00850A9F"/>
    <w:rsid w:val="0085195E"/>
    <w:rsid w:val="00852240"/>
    <w:rsid w:val="008525BF"/>
    <w:rsid w:val="00852835"/>
    <w:rsid w:val="00852882"/>
    <w:rsid w:val="00852E42"/>
    <w:rsid w:val="008534D8"/>
    <w:rsid w:val="00853702"/>
    <w:rsid w:val="00854C3A"/>
    <w:rsid w:val="00854CE8"/>
    <w:rsid w:val="00854EDD"/>
    <w:rsid w:val="00855219"/>
    <w:rsid w:val="008553D8"/>
    <w:rsid w:val="008555BB"/>
    <w:rsid w:val="00855B42"/>
    <w:rsid w:val="00855C91"/>
    <w:rsid w:val="00855DEB"/>
    <w:rsid w:val="00856911"/>
    <w:rsid w:val="00856F19"/>
    <w:rsid w:val="0085736F"/>
    <w:rsid w:val="0085787C"/>
    <w:rsid w:val="008602E1"/>
    <w:rsid w:val="0086032E"/>
    <w:rsid w:val="008604DA"/>
    <w:rsid w:val="0086072D"/>
    <w:rsid w:val="00860E6E"/>
    <w:rsid w:val="00860F54"/>
    <w:rsid w:val="00861417"/>
    <w:rsid w:val="0086148F"/>
    <w:rsid w:val="0086164F"/>
    <w:rsid w:val="00861DE9"/>
    <w:rsid w:val="00862B80"/>
    <w:rsid w:val="00863576"/>
    <w:rsid w:val="00863A4A"/>
    <w:rsid w:val="00863E4E"/>
    <w:rsid w:val="00863FD0"/>
    <w:rsid w:val="008642E3"/>
    <w:rsid w:val="008649A5"/>
    <w:rsid w:val="00864B95"/>
    <w:rsid w:val="008651FC"/>
    <w:rsid w:val="008652BE"/>
    <w:rsid w:val="0086604B"/>
    <w:rsid w:val="008667BF"/>
    <w:rsid w:val="00866829"/>
    <w:rsid w:val="008669D6"/>
    <w:rsid w:val="00866E11"/>
    <w:rsid w:val="00867315"/>
    <w:rsid w:val="0086735A"/>
    <w:rsid w:val="008677FD"/>
    <w:rsid w:val="008706D4"/>
    <w:rsid w:val="00870F8A"/>
    <w:rsid w:val="00871189"/>
    <w:rsid w:val="008714AC"/>
    <w:rsid w:val="0087162F"/>
    <w:rsid w:val="008716D6"/>
    <w:rsid w:val="00871867"/>
    <w:rsid w:val="008718B1"/>
    <w:rsid w:val="008719A4"/>
    <w:rsid w:val="00871D23"/>
    <w:rsid w:val="0087274A"/>
    <w:rsid w:val="0087330C"/>
    <w:rsid w:val="00873927"/>
    <w:rsid w:val="00873BC8"/>
    <w:rsid w:val="008741D0"/>
    <w:rsid w:val="008741E1"/>
    <w:rsid w:val="00874312"/>
    <w:rsid w:val="0087437C"/>
    <w:rsid w:val="00874B07"/>
    <w:rsid w:val="00875074"/>
    <w:rsid w:val="008752B5"/>
    <w:rsid w:val="0087574B"/>
    <w:rsid w:val="00875892"/>
    <w:rsid w:val="00875B6C"/>
    <w:rsid w:val="00875CD7"/>
    <w:rsid w:val="00875F97"/>
    <w:rsid w:val="008760B6"/>
    <w:rsid w:val="00876137"/>
    <w:rsid w:val="00876914"/>
    <w:rsid w:val="00876B4D"/>
    <w:rsid w:val="008774D6"/>
    <w:rsid w:val="00877AF9"/>
    <w:rsid w:val="00877F18"/>
    <w:rsid w:val="00877F48"/>
    <w:rsid w:val="00877FC4"/>
    <w:rsid w:val="0088045B"/>
    <w:rsid w:val="008804DE"/>
    <w:rsid w:val="008808DE"/>
    <w:rsid w:val="0088176E"/>
    <w:rsid w:val="008817AA"/>
    <w:rsid w:val="008817D1"/>
    <w:rsid w:val="00882086"/>
    <w:rsid w:val="008820A2"/>
    <w:rsid w:val="00882189"/>
    <w:rsid w:val="00882B67"/>
    <w:rsid w:val="008836B2"/>
    <w:rsid w:val="00883974"/>
    <w:rsid w:val="0088532A"/>
    <w:rsid w:val="00886CC9"/>
    <w:rsid w:val="00886E20"/>
    <w:rsid w:val="008873B0"/>
    <w:rsid w:val="008878AE"/>
    <w:rsid w:val="00887EC5"/>
    <w:rsid w:val="0089027E"/>
    <w:rsid w:val="00890C01"/>
    <w:rsid w:val="00890CF2"/>
    <w:rsid w:val="008910A9"/>
    <w:rsid w:val="0089129D"/>
    <w:rsid w:val="008915CD"/>
    <w:rsid w:val="0089195B"/>
    <w:rsid w:val="00892060"/>
    <w:rsid w:val="00892152"/>
    <w:rsid w:val="00892803"/>
    <w:rsid w:val="00892C7A"/>
    <w:rsid w:val="00892C87"/>
    <w:rsid w:val="00892FE8"/>
    <w:rsid w:val="00893362"/>
    <w:rsid w:val="0089358A"/>
    <w:rsid w:val="0089368E"/>
    <w:rsid w:val="00893EDC"/>
    <w:rsid w:val="00893F15"/>
    <w:rsid w:val="00893FB1"/>
    <w:rsid w:val="008941E3"/>
    <w:rsid w:val="00894753"/>
    <w:rsid w:val="00894939"/>
    <w:rsid w:val="00894A88"/>
    <w:rsid w:val="00894BB6"/>
    <w:rsid w:val="00895036"/>
    <w:rsid w:val="00895386"/>
    <w:rsid w:val="00895580"/>
    <w:rsid w:val="00895B7B"/>
    <w:rsid w:val="00895DF4"/>
    <w:rsid w:val="00895EE2"/>
    <w:rsid w:val="0089692C"/>
    <w:rsid w:val="00896A53"/>
    <w:rsid w:val="00896CD9"/>
    <w:rsid w:val="00896CE5"/>
    <w:rsid w:val="008970A7"/>
    <w:rsid w:val="0089752D"/>
    <w:rsid w:val="00897598"/>
    <w:rsid w:val="008978D4"/>
    <w:rsid w:val="008A037D"/>
    <w:rsid w:val="008A05C8"/>
    <w:rsid w:val="008A0DB6"/>
    <w:rsid w:val="008A21FF"/>
    <w:rsid w:val="008A2CE2"/>
    <w:rsid w:val="008A2D82"/>
    <w:rsid w:val="008A30AC"/>
    <w:rsid w:val="008A3889"/>
    <w:rsid w:val="008A3DB6"/>
    <w:rsid w:val="008A3EDE"/>
    <w:rsid w:val="008A3EE0"/>
    <w:rsid w:val="008A4086"/>
    <w:rsid w:val="008A44B8"/>
    <w:rsid w:val="008A45EE"/>
    <w:rsid w:val="008A47CF"/>
    <w:rsid w:val="008A4AF8"/>
    <w:rsid w:val="008A4C69"/>
    <w:rsid w:val="008A51A8"/>
    <w:rsid w:val="008A5488"/>
    <w:rsid w:val="008A54C7"/>
    <w:rsid w:val="008A5E6A"/>
    <w:rsid w:val="008A5EDA"/>
    <w:rsid w:val="008A61DC"/>
    <w:rsid w:val="008A656B"/>
    <w:rsid w:val="008A6650"/>
    <w:rsid w:val="008A6A68"/>
    <w:rsid w:val="008A77D8"/>
    <w:rsid w:val="008B0002"/>
    <w:rsid w:val="008B0483"/>
    <w:rsid w:val="008B0781"/>
    <w:rsid w:val="008B0BEA"/>
    <w:rsid w:val="008B0D2E"/>
    <w:rsid w:val="008B0DD5"/>
    <w:rsid w:val="008B120C"/>
    <w:rsid w:val="008B207E"/>
    <w:rsid w:val="008B2229"/>
    <w:rsid w:val="008B24D2"/>
    <w:rsid w:val="008B25F7"/>
    <w:rsid w:val="008B2634"/>
    <w:rsid w:val="008B27D9"/>
    <w:rsid w:val="008B29E1"/>
    <w:rsid w:val="008B2BDE"/>
    <w:rsid w:val="008B3473"/>
    <w:rsid w:val="008B39CE"/>
    <w:rsid w:val="008B3AE1"/>
    <w:rsid w:val="008B3E67"/>
    <w:rsid w:val="008B405A"/>
    <w:rsid w:val="008B44CD"/>
    <w:rsid w:val="008B4B29"/>
    <w:rsid w:val="008B4BDD"/>
    <w:rsid w:val="008B51A0"/>
    <w:rsid w:val="008B5498"/>
    <w:rsid w:val="008B5590"/>
    <w:rsid w:val="008B592A"/>
    <w:rsid w:val="008B5C0A"/>
    <w:rsid w:val="008B5E78"/>
    <w:rsid w:val="008B5EEF"/>
    <w:rsid w:val="008B64B8"/>
    <w:rsid w:val="008B66FD"/>
    <w:rsid w:val="008B67BA"/>
    <w:rsid w:val="008B6832"/>
    <w:rsid w:val="008B690A"/>
    <w:rsid w:val="008B6AE9"/>
    <w:rsid w:val="008B6CF9"/>
    <w:rsid w:val="008B743C"/>
    <w:rsid w:val="008B7564"/>
    <w:rsid w:val="008B7B4A"/>
    <w:rsid w:val="008B7B5C"/>
    <w:rsid w:val="008B7D3D"/>
    <w:rsid w:val="008B7D55"/>
    <w:rsid w:val="008C0C87"/>
    <w:rsid w:val="008C0C99"/>
    <w:rsid w:val="008C1218"/>
    <w:rsid w:val="008C1CF5"/>
    <w:rsid w:val="008C1DD4"/>
    <w:rsid w:val="008C1EEF"/>
    <w:rsid w:val="008C1F6B"/>
    <w:rsid w:val="008C2017"/>
    <w:rsid w:val="008C2216"/>
    <w:rsid w:val="008C24CC"/>
    <w:rsid w:val="008C31A3"/>
    <w:rsid w:val="008C3240"/>
    <w:rsid w:val="008C3288"/>
    <w:rsid w:val="008C37B0"/>
    <w:rsid w:val="008C38BB"/>
    <w:rsid w:val="008C3B20"/>
    <w:rsid w:val="008C3BA3"/>
    <w:rsid w:val="008C3D0E"/>
    <w:rsid w:val="008C3D8F"/>
    <w:rsid w:val="008C42DE"/>
    <w:rsid w:val="008C4958"/>
    <w:rsid w:val="008C4A2D"/>
    <w:rsid w:val="008C4BAA"/>
    <w:rsid w:val="008C4E5B"/>
    <w:rsid w:val="008C4F25"/>
    <w:rsid w:val="008C5076"/>
    <w:rsid w:val="008C5436"/>
    <w:rsid w:val="008C601D"/>
    <w:rsid w:val="008C67F8"/>
    <w:rsid w:val="008C69B5"/>
    <w:rsid w:val="008C6AE8"/>
    <w:rsid w:val="008C7110"/>
    <w:rsid w:val="008C7573"/>
    <w:rsid w:val="008C7B75"/>
    <w:rsid w:val="008C7BF5"/>
    <w:rsid w:val="008C7C20"/>
    <w:rsid w:val="008C7EE6"/>
    <w:rsid w:val="008D00A5"/>
    <w:rsid w:val="008D04AA"/>
    <w:rsid w:val="008D060F"/>
    <w:rsid w:val="008D086E"/>
    <w:rsid w:val="008D0CD6"/>
    <w:rsid w:val="008D0DCD"/>
    <w:rsid w:val="008D2C0F"/>
    <w:rsid w:val="008D2DDE"/>
    <w:rsid w:val="008D303F"/>
    <w:rsid w:val="008D30EC"/>
    <w:rsid w:val="008D3261"/>
    <w:rsid w:val="008D34F1"/>
    <w:rsid w:val="008D37F3"/>
    <w:rsid w:val="008D39D8"/>
    <w:rsid w:val="008D3E18"/>
    <w:rsid w:val="008D471A"/>
    <w:rsid w:val="008D4C34"/>
    <w:rsid w:val="008D51F5"/>
    <w:rsid w:val="008D5573"/>
    <w:rsid w:val="008D5744"/>
    <w:rsid w:val="008D574D"/>
    <w:rsid w:val="008D5EBC"/>
    <w:rsid w:val="008D662C"/>
    <w:rsid w:val="008D6726"/>
    <w:rsid w:val="008D6D1A"/>
    <w:rsid w:val="008D6ED4"/>
    <w:rsid w:val="008D79FC"/>
    <w:rsid w:val="008D7BAA"/>
    <w:rsid w:val="008E0042"/>
    <w:rsid w:val="008E065E"/>
    <w:rsid w:val="008E0927"/>
    <w:rsid w:val="008E0CF0"/>
    <w:rsid w:val="008E0DAC"/>
    <w:rsid w:val="008E0F6B"/>
    <w:rsid w:val="008E13E6"/>
    <w:rsid w:val="008E1909"/>
    <w:rsid w:val="008E26E7"/>
    <w:rsid w:val="008E27B9"/>
    <w:rsid w:val="008E2AE2"/>
    <w:rsid w:val="008E2CBB"/>
    <w:rsid w:val="008E2CCF"/>
    <w:rsid w:val="008E3111"/>
    <w:rsid w:val="008E3228"/>
    <w:rsid w:val="008E3438"/>
    <w:rsid w:val="008E3596"/>
    <w:rsid w:val="008E3946"/>
    <w:rsid w:val="008E3B6C"/>
    <w:rsid w:val="008E3CD3"/>
    <w:rsid w:val="008E4313"/>
    <w:rsid w:val="008E4D0F"/>
    <w:rsid w:val="008E4E26"/>
    <w:rsid w:val="008E4EAC"/>
    <w:rsid w:val="008E5432"/>
    <w:rsid w:val="008E69A1"/>
    <w:rsid w:val="008E6B1B"/>
    <w:rsid w:val="008E7916"/>
    <w:rsid w:val="008E79AF"/>
    <w:rsid w:val="008E7B26"/>
    <w:rsid w:val="008E7D3E"/>
    <w:rsid w:val="008F0412"/>
    <w:rsid w:val="008F063F"/>
    <w:rsid w:val="008F0685"/>
    <w:rsid w:val="008F0FF4"/>
    <w:rsid w:val="008F15AE"/>
    <w:rsid w:val="008F1C4E"/>
    <w:rsid w:val="008F1EAB"/>
    <w:rsid w:val="008F22A6"/>
    <w:rsid w:val="008F239B"/>
    <w:rsid w:val="008F2CF4"/>
    <w:rsid w:val="008F2D52"/>
    <w:rsid w:val="008F33DC"/>
    <w:rsid w:val="008F340E"/>
    <w:rsid w:val="008F4192"/>
    <w:rsid w:val="008F4241"/>
    <w:rsid w:val="008F43E4"/>
    <w:rsid w:val="008F467C"/>
    <w:rsid w:val="008F477F"/>
    <w:rsid w:val="008F4A08"/>
    <w:rsid w:val="008F4B37"/>
    <w:rsid w:val="008F57B4"/>
    <w:rsid w:val="008F5C8A"/>
    <w:rsid w:val="008F617D"/>
    <w:rsid w:val="008F662D"/>
    <w:rsid w:val="008F67D3"/>
    <w:rsid w:val="008F69A4"/>
    <w:rsid w:val="008F6EA1"/>
    <w:rsid w:val="008F6F54"/>
    <w:rsid w:val="008F7700"/>
    <w:rsid w:val="008F7986"/>
    <w:rsid w:val="00900175"/>
    <w:rsid w:val="009004FB"/>
    <w:rsid w:val="0090073A"/>
    <w:rsid w:val="00900F81"/>
    <w:rsid w:val="0090143D"/>
    <w:rsid w:val="00901A67"/>
    <w:rsid w:val="00901C01"/>
    <w:rsid w:val="0090223E"/>
    <w:rsid w:val="00902350"/>
    <w:rsid w:val="009025D9"/>
    <w:rsid w:val="0090268D"/>
    <w:rsid w:val="00902983"/>
    <w:rsid w:val="0090336B"/>
    <w:rsid w:val="00903544"/>
    <w:rsid w:val="00903B6D"/>
    <w:rsid w:val="00903C7C"/>
    <w:rsid w:val="00903E03"/>
    <w:rsid w:val="009041CD"/>
    <w:rsid w:val="00904825"/>
    <w:rsid w:val="00904C0F"/>
    <w:rsid w:val="00904D54"/>
    <w:rsid w:val="00905154"/>
    <w:rsid w:val="00905157"/>
    <w:rsid w:val="009053AA"/>
    <w:rsid w:val="00905437"/>
    <w:rsid w:val="00905B5E"/>
    <w:rsid w:val="00905CA7"/>
    <w:rsid w:val="0090624F"/>
    <w:rsid w:val="00906939"/>
    <w:rsid w:val="00906A9C"/>
    <w:rsid w:val="00906CD6"/>
    <w:rsid w:val="00906DCE"/>
    <w:rsid w:val="00906E67"/>
    <w:rsid w:val="00907320"/>
    <w:rsid w:val="00907421"/>
    <w:rsid w:val="00907926"/>
    <w:rsid w:val="00907CFE"/>
    <w:rsid w:val="00907F09"/>
    <w:rsid w:val="009102EE"/>
    <w:rsid w:val="00910705"/>
    <w:rsid w:val="00910B7D"/>
    <w:rsid w:val="00910D57"/>
    <w:rsid w:val="00910D5B"/>
    <w:rsid w:val="00910EBD"/>
    <w:rsid w:val="00911623"/>
    <w:rsid w:val="00911C94"/>
    <w:rsid w:val="00911DFB"/>
    <w:rsid w:val="0091267E"/>
    <w:rsid w:val="00912E3D"/>
    <w:rsid w:val="00912EDA"/>
    <w:rsid w:val="009139D9"/>
    <w:rsid w:val="00913B1C"/>
    <w:rsid w:val="009143E0"/>
    <w:rsid w:val="00914838"/>
    <w:rsid w:val="00914AD8"/>
    <w:rsid w:val="009157FC"/>
    <w:rsid w:val="00915AAC"/>
    <w:rsid w:val="00916079"/>
    <w:rsid w:val="009161A5"/>
    <w:rsid w:val="009161DA"/>
    <w:rsid w:val="00916814"/>
    <w:rsid w:val="0091688B"/>
    <w:rsid w:val="00916986"/>
    <w:rsid w:val="009175AD"/>
    <w:rsid w:val="00917A4E"/>
    <w:rsid w:val="00917C12"/>
    <w:rsid w:val="00917CE9"/>
    <w:rsid w:val="0092075B"/>
    <w:rsid w:val="00920BEF"/>
    <w:rsid w:val="00920BF2"/>
    <w:rsid w:val="00920E26"/>
    <w:rsid w:val="00921087"/>
    <w:rsid w:val="00921156"/>
    <w:rsid w:val="009212FA"/>
    <w:rsid w:val="00921975"/>
    <w:rsid w:val="00921D41"/>
    <w:rsid w:val="00922006"/>
    <w:rsid w:val="00922010"/>
    <w:rsid w:val="00922A54"/>
    <w:rsid w:val="00923294"/>
    <w:rsid w:val="0092370D"/>
    <w:rsid w:val="009237DC"/>
    <w:rsid w:val="00923C3D"/>
    <w:rsid w:val="009241C1"/>
    <w:rsid w:val="00924F8F"/>
    <w:rsid w:val="00924F9B"/>
    <w:rsid w:val="009250D8"/>
    <w:rsid w:val="0092540F"/>
    <w:rsid w:val="00925662"/>
    <w:rsid w:val="009259CF"/>
    <w:rsid w:val="009259D8"/>
    <w:rsid w:val="00925DD6"/>
    <w:rsid w:val="00925F7B"/>
    <w:rsid w:val="009263AB"/>
    <w:rsid w:val="009270B9"/>
    <w:rsid w:val="009276D5"/>
    <w:rsid w:val="00927F18"/>
    <w:rsid w:val="0093060C"/>
    <w:rsid w:val="00930E40"/>
    <w:rsid w:val="00931217"/>
    <w:rsid w:val="00931897"/>
    <w:rsid w:val="00931BD9"/>
    <w:rsid w:val="00931C30"/>
    <w:rsid w:val="00931F45"/>
    <w:rsid w:val="00932A14"/>
    <w:rsid w:val="009330BA"/>
    <w:rsid w:val="00933304"/>
    <w:rsid w:val="009333F1"/>
    <w:rsid w:val="0093364B"/>
    <w:rsid w:val="00933790"/>
    <w:rsid w:val="00933F08"/>
    <w:rsid w:val="00934411"/>
    <w:rsid w:val="00934B6E"/>
    <w:rsid w:val="00934EFA"/>
    <w:rsid w:val="0093538B"/>
    <w:rsid w:val="00935496"/>
    <w:rsid w:val="00936113"/>
    <w:rsid w:val="009368F3"/>
    <w:rsid w:val="00936930"/>
    <w:rsid w:val="00936B29"/>
    <w:rsid w:val="00936F25"/>
    <w:rsid w:val="009370BC"/>
    <w:rsid w:val="009371DB"/>
    <w:rsid w:val="00937419"/>
    <w:rsid w:val="00937529"/>
    <w:rsid w:val="009375EA"/>
    <w:rsid w:val="00937A89"/>
    <w:rsid w:val="00937B70"/>
    <w:rsid w:val="00937CDD"/>
    <w:rsid w:val="009405F4"/>
    <w:rsid w:val="00940977"/>
    <w:rsid w:val="009409B9"/>
    <w:rsid w:val="00941141"/>
    <w:rsid w:val="00941636"/>
    <w:rsid w:val="00941827"/>
    <w:rsid w:val="0094184C"/>
    <w:rsid w:val="00941E22"/>
    <w:rsid w:val="00941E7D"/>
    <w:rsid w:val="009420D5"/>
    <w:rsid w:val="00942201"/>
    <w:rsid w:val="009424D0"/>
    <w:rsid w:val="009429F0"/>
    <w:rsid w:val="00942D64"/>
    <w:rsid w:val="00943002"/>
    <w:rsid w:val="0094317F"/>
    <w:rsid w:val="00943742"/>
    <w:rsid w:val="00943B79"/>
    <w:rsid w:val="009445FE"/>
    <w:rsid w:val="0094460E"/>
    <w:rsid w:val="00945035"/>
    <w:rsid w:val="009450BE"/>
    <w:rsid w:val="009453ED"/>
    <w:rsid w:val="00945C05"/>
    <w:rsid w:val="00945CE7"/>
    <w:rsid w:val="009460D7"/>
    <w:rsid w:val="00946337"/>
    <w:rsid w:val="009464EA"/>
    <w:rsid w:val="009467B3"/>
    <w:rsid w:val="00946945"/>
    <w:rsid w:val="00946AE2"/>
    <w:rsid w:val="00946EEE"/>
    <w:rsid w:val="00946F05"/>
    <w:rsid w:val="00946FE9"/>
    <w:rsid w:val="00947713"/>
    <w:rsid w:val="00947E25"/>
    <w:rsid w:val="00947F97"/>
    <w:rsid w:val="00950DE7"/>
    <w:rsid w:val="009518B5"/>
    <w:rsid w:val="009519A9"/>
    <w:rsid w:val="009527D4"/>
    <w:rsid w:val="00952899"/>
    <w:rsid w:val="00953042"/>
    <w:rsid w:val="00953390"/>
    <w:rsid w:val="00953920"/>
    <w:rsid w:val="0095394F"/>
    <w:rsid w:val="009539A6"/>
    <w:rsid w:val="009539DC"/>
    <w:rsid w:val="00953D47"/>
    <w:rsid w:val="00953EC7"/>
    <w:rsid w:val="0095412B"/>
    <w:rsid w:val="00954253"/>
    <w:rsid w:val="00955AC7"/>
    <w:rsid w:val="00955AE3"/>
    <w:rsid w:val="00956628"/>
    <w:rsid w:val="0095681E"/>
    <w:rsid w:val="009568A8"/>
    <w:rsid w:val="00957191"/>
    <w:rsid w:val="009572D4"/>
    <w:rsid w:val="009574A3"/>
    <w:rsid w:val="00957807"/>
    <w:rsid w:val="00957CEC"/>
    <w:rsid w:val="00957FC2"/>
    <w:rsid w:val="0096057C"/>
    <w:rsid w:val="0096128E"/>
    <w:rsid w:val="009618F3"/>
    <w:rsid w:val="00961921"/>
    <w:rsid w:val="00961E26"/>
    <w:rsid w:val="0096209A"/>
    <w:rsid w:val="009627D6"/>
    <w:rsid w:val="00962952"/>
    <w:rsid w:val="00962DAB"/>
    <w:rsid w:val="009635CB"/>
    <w:rsid w:val="0096366D"/>
    <w:rsid w:val="00963732"/>
    <w:rsid w:val="0096383B"/>
    <w:rsid w:val="00963E14"/>
    <w:rsid w:val="00963E50"/>
    <w:rsid w:val="0096430A"/>
    <w:rsid w:val="0096452F"/>
    <w:rsid w:val="00965509"/>
    <w:rsid w:val="0096554B"/>
    <w:rsid w:val="009656E4"/>
    <w:rsid w:val="0096584A"/>
    <w:rsid w:val="00965867"/>
    <w:rsid w:val="00965F55"/>
    <w:rsid w:val="00965F7C"/>
    <w:rsid w:val="0096630F"/>
    <w:rsid w:val="00966A8F"/>
    <w:rsid w:val="009673F9"/>
    <w:rsid w:val="00967B66"/>
    <w:rsid w:val="00967B8D"/>
    <w:rsid w:val="009706E0"/>
    <w:rsid w:val="009706F8"/>
    <w:rsid w:val="00970833"/>
    <w:rsid w:val="00970FDE"/>
    <w:rsid w:val="00971333"/>
    <w:rsid w:val="00971E70"/>
    <w:rsid w:val="00971ED5"/>
    <w:rsid w:val="00971F08"/>
    <w:rsid w:val="00972150"/>
    <w:rsid w:val="0097235A"/>
    <w:rsid w:val="00972A13"/>
    <w:rsid w:val="00972D70"/>
    <w:rsid w:val="00973CAF"/>
    <w:rsid w:val="00973E73"/>
    <w:rsid w:val="00973F00"/>
    <w:rsid w:val="00974009"/>
    <w:rsid w:val="0097458D"/>
    <w:rsid w:val="009746A8"/>
    <w:rsid w:val="009748A3"/>
    <w:rsid w:val="00974B56"/>
    <w:rsid w:val="00974FC8"/>
    <w:rsid w:val="009751A7"/>
    <w:rsid w:val="00975294"/>
    <w:rsid w:val="0097529F"/>
    <w:rsid w:val="00975392"/>
    <w:rsid w:val="00975507"/>
    <w:rsid w:val="00975590"/>
    <w:rsid w:val="00975F66"/>
    <w:rsid w:val="0097603D"/>
    <w:rsid w:val="00976486"/>
    <w:rsid w:val="00976949"/>
    <w:rsid w:val="0097737A"/>
    <w:rsid w:val="009773D2"/>
    <w:rsid w:val="00977AE6"/>
    <w:rsid w:val="00980477"/>
    <w:rsid w:val="0098078C"/>
    <w:rsid w:val="00981178"/>
    <w:rsid w:val="0098157C"/>
    <w:rsid w:val="00981A1F"/>
    <w:rsid w:val="00981EDE"/>
    <w:rsid w:val="00981F0F"/>
    <w:rsid w:val="0098288F"/>
    <w:rsid w:val="009829C0"/>
    <w:rsid w:val="00982C64"/>
    <w:rsid w:val="00982DA7"/>
    <w:rsid w:val="009833EA"/>
    <w:rsid w:val="00983C8F"/>
    <w:rsid w:val="00983E1F"/>
    <w:rsid w:val="00984E3C"/>
    <w:rsid w:val="0098501A"/>
    <w:rsid w:val="00985253"/>
    <w:rsid w:val="009852A6"/>
    <w:rsid w:val="009853B3"/>
    <w:rsid w:val="009858AA"/>
    <w:rsid w:val="00985EC3"/>
    <w:rsid w:val="009863F7"/>
    <w:rsid w:val="0098655C"/>
    <w:rsid w:val="00986A1A"/>
    <w:rsid w:val="00987AE1"/>
    <w:rsid w:val="00987AF5"/>
    <w:rsid w:val="00987AFB"/>
    <w:rsid w:val="00987CED"/>
    <w:rsid w:val="00987D8B"/>
    <w:rsid w:val="00990630"/>
    <w:rsid w:val="009908C9"/>
    <w:rsid w:val="00990CDE"/>
    <w:rsid w:val="00991171"/>
    <w:rsid w:val="009914EC"/>
    <w:rsid w:val="00991761"/>
    <w:rsid w:val="00991FE6"/>
    <w:rsid w:val="009921E7"/>
    <w:rsid w:val="009933F5"/>
    <w:rsid w:val="00993B93"/>
    <w:rsid w:val="00994638"/>
    <w:rsid w:val="00994DCA"/>
    <w:rsid w:val="00995018"/>
    <w:rsid w:val="009952C7"/>
    <w:rsid w:val="009952EC"/>
    <w:rsid w:val="00995504"/>
    <w:rsid w:val="009959C6"/>
    <w:rsid w:val="00995ABF"/>
    <w:rsid w:val="00995E48"/>
    <w:rsid w:val="009960EC"/>
    <w:rsid w:val="009962A8"/>
    <w:rsid w:val="009964E4"/>
    <w:rsid w:val="00996A10"/>
    <w:rsid w:val="009970DD"/>
    <w:rsid w:val="00997A97"/>
    <w:rsid w:val="00997BF6"/>
    <w:rsid w:val="009A010D"/>
    <w:rsid w:val="009A04D3"/>
    <w:rsid w:val="009A0B85"/>
    <w:rsid w:val="009A0FBA"/>
    <w:rsid w:val="009A132E"/>
    <w:rsid w:val="009A1355"/>
    <w:rsid w:val="009A1400"/>
    <w:rsid w:val="009A14B5"/>
    <w:rsid w:val="009A1601"/>
    <w:rsid w:val="009A18A3"/>
    <w:rsid w:val="009A2C37"/>
    <w:rsid w:val="009A31E6"/>
    <w:rsid w:val="009A375C"/>
    <w:rsid w:val="009A3BB6"/>
    <w:rsid w:val="009A3FC8"/>
    <w:rsid w:val="009A462D"/>
    <w:rsid w:val="009A50DC"/>
    <w:rsid w:val="009A533D"/>
    <w:rsid w:val="009A59DC"/>
    <w:rsid w:val="009A5A6D"/>
    <w:rsid w:val="009A5AF2"/>
    <w:rsid w:val="009A5CBA"/>
    <w:rsid w:val="009A5EA2"/>
    <w:rsid w:val="009A69E0"/>
    <w:rsid w:val="009A6A9B"/>
    <w:rsid w:val="009B030F"/>
    <w:rsid w:val="009B0597"/>
    <w:rsid w:val="009B08A9"/>
    <w:rsid w:val="009B0C10"/>
    <w:rsid w:val="009B103E"/>
    <w:rsid w:val="009B14E5"/>
    <w:rsid w:val="009B155E"/>
    <w:rsid w:val="009B1760"/>
    <w:rsid w:val="009B1E37"/>
    <w:rsid w:val="009B1F30"/>
    <w:rsid w:val="009B1FFC"/>
    <w:rsid w:val="009B22CC"/>
    <w:rsid w:val="009B2724"/>
    <w:rsid w:val="009B30E3"/>
    <w:rsid w:val="009B31C0"/>
    <w:rsid w:val="009B3AC2"/>
    <w:rsid w:val="009B3DFB"/>
    <w:rsid w:val="009B3E09"/>
    <w:rsid w:val="009B477E"/>
    <w:rsid w:val="009B4C33"/>
    <w:rsid w:val="009B4DF4"/>
    <w:rsid w:val="009B4F08"/>
    <w:rsid w:val="009B544D"/>
    <w:rsid w:val="009B5607"/>
    <w:rsid w:val="009B564E"/>
    <w:rsid w:val="009B5B30"/>
    <w:rsid w:val="009B5DC2"/>
    <w:rsid w:val="009B6442"/>
    <w:rsid w:val="009B7275"/>
    <w:rsid w:val="009B7862"/>
    <w:rsid w:val="009B7E87"/>
    <w:rsid w:val="009C0169"/>
    <w:rsid w:val="009C044B"/>
    <w:rsid w:val="009C061A"/>
    <w:rsid w:val="009C2728"/>
    <w:rsid w:val="009C2B43"/>
    <w:rsid w:val="009C2C4C"/>
    <w:rsid w:val="009C2F3D"/>
    <w:rsid w:val="009C304E"/>
    <w:rsid w:val="009C3210"/>
    <w:rsid w:val="009C32BF"/>
    <w:rsid w:val="009C3784"/>
    <w:rsid w:val="009C3AEA"/>
    <w:rsid w:val="009C3CA5"/>
    <w:rsid w:val="009C3FF1"/>
    <w:rsid w:val="009C403E"/>
    <w:rsid w:val="009C457A"/>
    <w:rsid w:val="009C4583"/>
    <w:rsid w:val="009C47B4"/>
    <w:rsid w:val="009C48B3"/>
    <w:rsid w:val="009C4972"/>
    <w:rsid w:val="009C4BD1"/>
    <w:rsid w:val="009C565B"/>
    <w:rsid w:val="009C596A"/>
    <w:rsid w:val="009C5DF3"/>
    <w:rsid w:val="009C6071"/>
    <w:rsid w:val="009C63CB"/>
    <w:rsid w:val="009C7268"/>
    <w:rsid w:val="009C75E1"/>
    <w:rsid w:val="009C7927"/>
    <w:rsid w:val="009C7C09"/>
    <w:rsid w:val="009C7C70"/>
    <w:rsid w:val="009C7E59"/>
    <w:rsid w:val="009D08E3"/>
    <w:rsid w:val="009D0DDD"/>
    <w:rsid w:val="009D14C7"/>
    <w:rsid w:val="009D16C7"/>
    <w:rsid w:val="009D1D5B"/>
    <w:rsid w:val="009D2050"/>
    <w:rsid w:val="009D2C29"/>
    <w:rsid w:val="009D2C64"/>
    <w:rsid w:val="009D2EE9"/>
    <w:rsid w:val="009D3388"/>
    <w:rsid w:val="009D3439"/>
    <w:rsid w:val="009D34C2"/>
    <w:rsid w:val="009D489C"/>
    <w:rsid w:val="009D4913"/>
    <w:rsid w:val="009D4936"/>
    <w:rsid w:val="009D4FF0"/>
    <w:rsid w:val="009D5CE0"/>
    <w:rsid w:val="009D6327"/>
    <w:rsid w:val="009D691D"/>
    <w:rsid w:val="009D703C"/>
    <w:rsid w:val="009D7107"/>
    <w:rsid w:val="009D718F"/>
    <w:rsid w:val="009D79CF"/>
    <w:rsid w:val="009D7DDF"/>
    <w:rsid w:val="009D7FD0"/>
    <w:rsid w:val="009E01D4"/>
    <w:rsid w:val="009E068F"/>
    <w:rsid w:val="009E0A58"/>
    <w:rsid w:val="009E0AC8"/>
    <w:rsid w:val="009E0AE8"/>
    <w:rsid w:val="009E0E83"/>
    <w:rsid w:val="009E12F9"/>
    <w:rsid w:val="009E14E0"/>
    <w:rsid w:val="009E187F"/>
    <w:rsid w:val="009E1925"/>
    <w:rsid w:val="009E1D1A"/>
    <w:rsid w:val="009E1E3F"/>
    <w:rsid w:val="009E1EF7"/>
    <w:rsid w:val="009E255D"/>
    <w:rsid w:val="009E2655"/>
    <w:rsid w:val="009E26C3"/>
    <w:rsid w:val="009E2B5A"/>
    <w:rsid w:val="009E32E4"/>
    <w:rsid w:val="009E35DB"/>
    <w:rsid w:val="009E411A"/>
    <w:rsid w:val="009E4381"/>
    <w:rsid w:val="009E47A3"/>
    <w:rsid w:val="009E47F6"/>
    <w:rsid w:val="009E4854"/>
    <w:rsid w:val="009E4962"/>
    <w:rsid w:val="009E5BBE"/>
    <w:rsid w:val="009E5BFB"/>
    <w:rsid w:val="009E6094"/>
    <w:rsid w:val="009E6560"/>
    <w:rsid w:val="009E6AFA"/>
    <w:rsid w:val="009E6D8D"/>
    <w:rsid w:val="009E70A6"/>
    <w:rsid w:val="009E72D0"/>
    <w:rsid w:val="009E730E"/>
    <w:rsid w:val="009E7757"/>
    <w:rsid w:val="009E790E"/>
    <w:rsid w:val="009E7AE8"/>
    <w:rsid w:val="009E7C2E"/>
    <w:rsid w:val="009E7F10"/>
    <w:rsid w:val="009F08F3"/>
    <w:rsid w:val="009F09B9"/>
    <w:rsid w:val="009F1624"/>
    <w:rsid w:val="009F1764"/>
    <w:rsid w:val="009F20FD"/>
    <w:rsid w:val="009F2608"/>
    <w:rsid w:val="009F27BC"/>
    <w:rsid w:val="009F29A4"/>
    <w:rsid w:val="009F3350"/>
    <w:rsid w:val="009F344F"/>
    <w:rsid w:val="009F3924"/>
    <w:rsid w:val="009F3FA4"/>
    <w:rsid w:val="009F44AB"/>
    <w:rsid w:val="009F4704"/>
    <w:rsid w:val="009F4E63"/>
    <w:rsid w:val="009F4F4C"/>
    <w:rsid w:val="009F50C8"/>
    <w:rsid w:val="009F53D2"/>
    <w:rsid w:val="009F56D0"/>
    <w:rsid w:val="009F57E5"/>
    <w:rsid w:val="009F632B"/>
    <w:rsid w:val="009F6828"/>
    <w:rsid w:val="009F6D5B"/>
    <w:rsid w:val="009F6F43"/>
    <w:rsid w:val="009F7595"/>
    <w:rsid w:val="009F783F"/>
    <w:rsid w:val="009F7BC7"/>
    <w:rsid w:val="009F7F7C"/>
    <w:rsid w:val="00A0012B"/>
    <w:rsid w:val="00A0055C"/>
    <w:rsid w:val="00A005BA"/>
    <w:rsid w:val="00A00D9E"/>
    <w:rsid w:val="00A01179"/>
    <w:rsid w:val="00A0167B"/>
    <w:rsid w:val="00A01D2C"/>
    <w:rsid w:val="00A021A8"/>
    <w:rsid w:val="00A021DB"/>
    <w:rsid w:val="00A02239"/>
    <w:rsid w:val="00A02ED0"/>
    <w:rsid w:val="00A02F8D"/>
    <w:rsid w:val="00A031D8"/>
    <w:rsid w:val="00A03ACF"/>
    <w:rsid w:val="00A03D92"/>
    <w:rsid w:val="00A03E26"/>
    <w:rsid w:val="00A04424"/>
    <w:rsid w:val="00A048A8"/>
    <w:rsid w:val="00A04A3B"/>
    <w:rsid w:val="00A04B3D"/>
    <w:rsid w:val="00A04C0A"/>
    <w:rsid w:val="00A04C26"/>
    <w:rsid w:val="00A04E85"/>
    <w:rsid w:val="00A04F49"/>
    <w:rsid w:val="00A0504E"/>
    <w:rsid w:val="00A050B9"/>
    <w:rsid w:val="00A0525C"/>
    <w:rsid w:val="00A056DA"/>
    <w:rsid w:val="00A064EF"/>
    <w:rsid w:val="00A065A7"/>
    <w:rsid w:val="00A065DF"/>
    <w:rsid w:val="00A069EC"/>
    <w:rsid w:val="00A07011"/>
    <w:rsid w:val="00A07FBD"/>
    <w:rsid w:val="00A10E85"/>
    <w:rsid w:val="00A11477"/>
    <w:rsid w:val="00A1188B"/>
    <w:rsid w:val="00A11EC1"/>
    <w:rsid w:val="00A11EEC"/>
    <w:rsid w:val="00A12FC6"/>
    <w:rsid w:val="00A131D5"/>
    <w:rsid w:val="00A135E7"/>
    <w:rsid w:val="00A138C1"/>
    <w:rsid w:val="00A13994"/>
    <w:rsid w:val="00A13E54"/>
    <w:rsid w:val="00A1413A"/>
    <w:rsid w:val="00A1438F"/>
    <w:rsid w:val="00A14EDC"/>
    <w:rsid w:val="00A15375"/>
    <w:rsid w:val="00A16B65"/>
    <w:rsid w:val="00A16EAE"/>
    <w:rsid w:val="00A17021"/>
    <w:rsid w:val="00A17177"/>
    <w:rsid w:val="00A175F7"/>
    <w:rsid w:val="00A17ADE"/>
    <w:rsid w:val="00A17DF2"/>
    <w:rsid w:val="00A17F63"/>
    <w:rsid w:val="00A202A2"/>
    <w:rsid w:val="00A20753"/>
    <w:rsid w:val="00A208A4"/>
    <w:rsid w:val="00A211C7"/>
    <w:rsid w:val="00A21454"/>
    <w:rsid w:val="00A21852"/>
    <w:rsid w:val="00A2193B"/>
    <w:rsid w:val="00A21CC1"/>
    <w:rsid w:val="00A233BC"/>
    <w:rsid w:val="00A2351A"/>
    <w:rsid w:val="00A23F98"/>
    <w:rsid w:val="00A242D7"/>
    <w:rsid w:val="00A243A4"/>
    <w:rsid w:val="00A248BF"/>
    <w:rsid w:val="00A248F8"/>
    <w:rsid w:val="00A24E87"/>
    <w:rsid w:val="00A24F8B"/>
    <w:rsid w:val="00A2508E"/>
    <w:rsid w:val="00A25C40"/>
    <w:rsid w:val="00A2633F"/>
    <w:rsid w:val="00A263E1"/>
    <w:rsid w:val="00A26418"/>
    <w:rsid w:val="00A264A9"/>
    <w:rsid w:val="00A26760"/>
    <w:rsid w:val="00A26DCF"/>
    <w:rsid w:val="00A26FF2"/>
    <w:rsid w:val="00A2721D"/>
    <w:rsid w:val="00A272CC"/>
    <w:rsid w:val="00A27785"/>
    <w:rsid w:val="00A279F6"/>
    <w:rsid w:val="00A30187"/>
    <w:rsid w:val="00A3131E"/>
    <w:rsid w:val="00A3163B"/>
    <w:rsid w:val="00A319A9"/>
    <w:rsid w:val="00A31B28"/>
    <w:rsid w:val="00A31C34"/>
    <w:rsid w:val="00A32053"/>
    <w:rsid w:val="00A323E0"/>
    <w:rsid w:val="00A33206"/>
    <w:rsid w:val="00A33381"/>
    <w:rsid w:val="00A33E5B"/>
    <w:rsid w:val="00A33EA2"/>
    <w:rsid w:val="00A33F07"/>
    <w:rsid w:val="00A3448A"/>
    <w:rsid w:val="00A359BE"/>
    <w:rsid w:val="00A36297"/>
    <w:rsid w:val="00A36550"/>
    <w:rsid w:val="00A372A0"/>
    <w:rsid w:val="00A374DD"/>
    <w:rsid w:val="00A3772C"/>
    <w:rsid w:val="00A37817"/>
    <w:rsid w:val="00A3782D"/>
    <w:rsid w:val="00A37991"/>
    <w:rsid w:val="00A37B00"/>
    <w:rsid w:val="00A37BDD"/>
    <w:rsid w:val="00A37CCD"/>
    <w:rsid w:val="00A37D9C"/>
    <w:rsid w:val="00A400E5"/>
    <w:rsid w:val="00A40349"/>
    <w:rsid w:val="00A40A74"/>
    <w:rsid w:val="00A40AEA"/>
    <w:rsid w:val="00A40DF5"/>
    <w:rsid w:val="00A414A1"/>
    <w:rsid w:val="00A41A69"/>
    <w:rsid w:val="00A41DF7"/>
    <w:rsid w:val="00A41E2B"/>
    <w:rsid w:val="00A4278D"/>
    <w:rsid w:val="00A42FA7"/>
    <w:rsid w:val="00A42FF5"/>
    <w:rsid w:val="00A4350F"/>
    <w:rsid w:val="00A43656"/>
    <w:rsid w:val="00A43932"/>
    <w:rsid w:val="00A45184"/>
    <w:rsid w:val="00A4545F"/>
    <w:rsid w:val="00A45B74"/>
    <w:rsid w:val="00A46FA0"/>
    <w:rsid w:val="00A47047"/>
    <w:rsid w:val="00A47E37"/>
    <w:rsid w:val="00A50015"/>
    <w:rsid w:val="00A50094"/>
    <w:rsid w:val="00A500C3"/>
    <w:rsid w:val="00A502E0"/>
    <w:rsid w:val="00A504D3"/>
    <w:rsid w:val="00A508F1"/>
    <w:rsid w:val="00A50E17"/>
    <w:rsid w:val="00A510B4"/>
    <w:rsid w:val="00A51535"/>
    <w:rsid w:val="00A51A75"/>
    <w:rsid w:val="00A52175"/>
    <w:rsid w:val="00A52755"/>
    <w:rsid w:val="00A5294D"/>
    <w:rsid w:val="00A5298B"/>
    <w:rsid w:val="00A52E1D"/>
    <w:rsid w:val="00A5365B"/>
    <w:rsid w:val="00A53C0C"/>
    <w:rsid w:val="00A540FE"/>
    <w:rsid w:val="00A547B8"/>
    <w:rsid w:val="00A5487B"/>
    <w:rsid w:val="00A55109"/>
    <w:rsid w:val="00A55110"/>
    <w:rsid w:val="00A551E1"/>
    <w:rsid w:val="00A551E4"/>
    <w:rsid w:val="00A552D9"/>
    <w:rsid w:val="00A55875"/>
    <w:rsid w:val="00A56513"/>
    <w:rsid w:val="00A56AE8"/>
    <w:rsid w:val="00A571CB"/>
    <w:rsid w:val="00A57478"/>
    <w:rsid w:val="00A57AB6"/>
    <w:rsid w:val="00A57B7D"/>
    <w:rsid w:val="00A60063"/>
    <w:rsid w:val="00A6081B"/>
    <w:rsid w:val="00A608D6"/>
    <w:rsid w:val="00A60A4B"/>
    <w:rsid w:val="00A61499"/>
    <w:rsid w:val="00A61546"/>
    <w:rsid w:val="00A61760"/>
    <w:rsid w:val="00A620B2"/>
    <w:rsid w:val="00A62141"/>
    <w:rsid w:val="00A62A77"/>
    <w:rsid w:val="00A62C98"/>
    <w:rsid w:val="00A62CAE"/>
    <w:rsid w:val="00A63217"/>
    <w:rsid w:val="00A63483"/>
    <w:rsid w:val="00A637A6"/>
    <w:rsid w:val="00A637D3"/>
    <w:rsid w:val="00A6384C"/>
    <w:rsid w:val="00A63D0A"/>
    <w:rsid w:val="00A646E4"/>
    <w:rsid w:val="00A6490F"/>
    <w:rsid w:val="00A64A93"/>
    <w:rsid w:val="00A6567D"/>
    <w:rsid w:val="00A657D7"/>
    <w:rsid w:val="00A65881"/>
    <w:rsid w:val="00A660AC"/>
    <w:rsid w:val="00A660FC"/>
    <w:rsid w:val="00A66393"/>
    <w:rsid w:val="00A663C2"/>
    <w:rsid w:val="00A665A1"/>
    <w:rsid w:val="00A66C9D"/>
    <w:rsid w:val="00A66DC3"/>
    <w:rsid w:val="00A66FD4"/>
    <w:rsid w:val="00A67229"/>
    <w:rsid w:val="00A676F3"/>
    <w:rsid w:val="00A6792F"/>
    <w:rsid w:val="00A67AED"/>
    <w:rsid w:val="00A67C0D"/>
    <w:rsid w:val="00A67D92"/>
    <w:rsid w:val="00A67E6C"/>
    <w:rsid w:val="00A70BDF"/>
    <w:rsid w:val="00A714EB"/>
    <w:rsid w:val="00A7173A"/>
    <w:rsid w:val="00A71B99"/>
    <w:rsid w:val="00A71C77"/>
    <w:rsid w:val="00A7216B"/>
    <w:rsid w:val="00A7267D"/>
    <w:rsid w:val="00A72839"/>
    <w:rsid w:val="00A7339A"/>
    <w:rsid w:val="00A73563"/>
    <w:rsid w:val="00A739D0"/>
    <w:rsid w:val="00A73A20"/>
    <w:rsid w:val="00A73BAC"/>
    <w:rsid w:val="00A74252"/>
    <w:rsid w:val="00A750B5"/>
    <w:rsid w:val="00A756B5"/>
    <w:rsid w:val="00A75852"/>
    <w:rsid w:val="00A761D4"/>
    <w:rsid w:val="00A763B2"/>
    <w:rsid w:val="00A7669D"/>
    <w:rsid w:val="00A76BE1"/>
    <w:rsid w:val="00A76DAB"/>
    <w:rsid w:val="00A77129"/>
    <w:rsid w:val="00A77662"/>
    <w:rsid w:val="00A776E7"/>
    <w:rsid w:val="00A77EC4"/>
    <w:rsid w:val="00A8007F"/>
    <w:rsid w:val="00A80156"/>
    <w:rsid w:val="00A80293"/>
    <w:rsid w:val="00A8051F"/>
    <w:rsid w:val="00A80AB0"/>
    <w:rsid w:val="00A8155F"/>
    <w:rsid w:val="00A8197D"/>
    <w:rsid w:val="00A82492"/>
    <w:rsid w:val="00A8291F"/>
    <w:rsid w:val="00A82F77"/>
    <w:rsid w:val="00A83031"/>
    <w:rsid w:val="00A83306"/>
    <w:rsid w:val="00A837AB"/>
    <w:rsid w:val="00A83828"/>
    <w:rsid w:val="00A83F40"/>
    <w:rsid w:val="00A8446B"/>
    <w:rsid w:val="00A854F2"/>
    <w:rsid w:val="00A8589B"/>
    <w:rsid w:val="00A858A0"/>
    <w:rsid w:val="00A85F6F"/>
    <w:rsid w:val="00A86CE1"/>
    <w:rsid w:val="00A86DB1"/>
    <w:rsid w:val="00A8758F"/>
    <w:rsid w:val="00A909BF"/>
    <w:rsid w:val="00A90C30"/>
    <w:rsid w:val="00A918AE"/>
    <w:rsid w:val="00A91AE9"/>
    <w:rsid w:val="00A91B7F"/>
    <w:rsid w:val="00A920EF"/>
    <w:rsid w:val="00A92879"/>
    <w:rsid w:val="00A92D50"/>
    <w:rsid w:val="00A931A2"/>
    <w:rsid w:val="00A9442A"/>
    <w:rsid w:val="00A94BAC"/>
    <w:rsid w:val="00A94E2B"/>
    <w:rsid w:val="00A95CFF"/>
    <w:rsid w:val="00A9632B"/>
    <w:rsid w:val="00A9688F"/>
    <w:rsid w:val="00A9719A"/>
    <w:rsid w:val="00A97EB6"/>
    <w:rsid w:val="00AA016F"/>
    <w:rsid w:val="00AA0320"/>
    <w:rsid w:val="00AA0C6F"/>
    <w:rsid w:val="00AA0E12"/>
    <w:rsid w:val="00AA0E19"/>
    <w:rsid w:val="00AA10E8"/>
    <w:rsid w:val="00AA1189"/>
    <w:rsid w:val="00AA11F2"/>
    <w:rsid w:val="00AA17EA"/>
    <w:rsid w:val="00AA192D"/>
    <w:rsid w:val="00AA1931"/>
    <w:rsid w:val="00AA1AAA"/>
    <w:rsid w:val="00AA1ED6"/>
    <w:rsid w:val="00AA28A4"/>
    <w:rsid w:val="00AA2B43"/>
    <w:rsid w:val="00AA2E71"/>
    <w:rsid w:val="00AA3123"/>
    <w:rsid w:val="00AA322B"/>
    <w:rsid w:val="00AA39AA"/>
    <w:rsid w:val="00AA3C62"/>
    <w:rsid w:val="00AA3D3F"/>
    <w:rsid w:val="00AA3FE2"/>
    <w:rsid w:val="00AA44C7"/>
    <w:rsid w:val="00AA4A58"/>
    <w:rsid w:val="00AA5027"/>
    <w:rsid w:val="00AA51D6"/>
    <w:rsid w:val="00AA555E"/>
    <w:rsid w:val="00AA55B2"/>
    <w:rsid w:val="00AA5634"/>
    <w:rsid w:val="00AA6213"/>
    <w:rsid w:val="00AA67F9"/>
    <w:rsid w:val="00AA6AC6"/>
    <w:rsid w:val="00AA6D76"/>
    <w:rsid w:val="00AA7778"/>
    <w:rsid w:val="00AA7789"/>
    <w:rsid w:val="00AA78D6"/>
    <w:rsid w:val="00AA79AF"/>
    <w:rsid w:val="00AB0609"/>
    <w:rsid w:val="00AB0A52"/>
    <w:rsid w:val="00AB0A94"/>
    <w:rsid w:val="00AB0BC8"/>
    <w:rsid w:val="00AB0D98"/>
    <w:rsid w:val="00AB0D9A"/>
    <w:rsid w:val="00AB11CA"/>
    <w:rsid w:val="00AB14D9"/>
    <w:rsid w:val="00AB1ABD"/>
    <w:rsid w:val="00AB1AC7"/>
    <w:rsid w:val="00AB1B2A"/>
    <w:rsid w:val="00AB1F95"/>
    <w:rsid w:val="00AB1FFE"/>
    <w:rsid w:val="00AB2375"/>
    <w:rsid w:val="00AB2D5F"/>
    <w:rsid w:val="00AB2FFB"/>
    <w:rsid w:val="00AB3337"/>
    <w:rsid w:val="00AB3C68"/>
    <w:rsid w:val="00AB3DBA"/>
    <w:rsid w:val="00AB40FA"/>
    <w:rsid w:val="00AB4830"/>
    <w:rsid w:val="00AB4A9D"/>
    <w:rsid w:val="00AB4AB8"/>
    <w:rsid w:val="00AB4B77"/>
    <w:rsid w:val="00AB5557"/>
    <w:rsid w:val="00AB55B3"/>
    <w:rsid w:val="00AB5772"/>
    <w:rsid w:val="00AB5CB2"/>
    <w:rsid w:val="00AB5E5A"/>
    <w:rsid w:val="00AB5F62"/>
    <w:rsid w:val="00AB60A0"/>
    <w:rsid w:val="00AB64C5"/>
    <w:rsid w:val="00AB655E"/>
    <w:rsid w:val="00AB66B1"/>
    <w:rsid w:val="00AB6966"/>
    <w:rsid w:val="00AB72BD"/>
    <w:rsid w:val="00AC007F"/>
    <w:rsid w:val="00AC04FD"/>
    <w:rsid w:val="00AC05B2"/>
    <w:rsid w:val="00AC06A7"/>
    <w:rsid w:val="00AC082D"/>
    <w:rsid w:val="00AC0B38"/>
    <w:rsid w:val="00AC0D31"/>
    <w:rsid w:val="00AC0DBF"/>
    <w:rsid w:val="00AC0E65"/>
    <w:rsid w:val="00AC17B1"/>
    <w:rsid w:val="00AC1AB3"/>
    <w:rsid w:val="00AC1E69"/>
    <w:rsid w:val="00AC20F5"/>
    <w:rsid w:val="00AC2ECD"/>
    <w:rsid w:val="00AC2F55"/>
    <w:rsid w:val="00AC3119"/>
    <w:rsid w:val="00AC3EF3"/>
    <w:rsid w:val="00AC40C9"/>
    <w:rsid w:val="00AC4789"/>
    <w:rsid w:val="00AC481D"/>
    <w:rsid w:val="00AC49FB"/>
    <w:rsid w:val="00AC54A6"/>
    <w:rsid w:val="00AC5A10"/>
    <w:rsid w:val="00AC5EB4"/>
    <w:rsid w:val="00AC60BD"/>
    <w:rsid w:val="00AC61B0"/>
    <w:rsid w:val="00AC69B4"/>
    <w:rsid w:val="00AC6AD4"/>
    <w:rsid w:val="00AC6CBC"/>
    <w:rsid w:val="00AC7586"/>
    <w:rsid w:val="00AC75AB"/>
    <w:rsid w:val="00AC78DE"/>
    <w:rsid w:val="00AD0245"/>
    <w:rsid w:val="00AD077D"/>
    <w:rsid w:val="00AD0AA3"/>
    <w:rsid w:val="00AD0BFD"/>
    <w:rsid w:val="00AD0F65"/>
    <w:rsid w:val="00AD130C"/>
    <w:rsid w:val="00AD17DB"/>
    <w:rsid w:val="00AD19B1"/>
    <w:rsid w:val="00AD1BBF"/>
    <w:rsid w:val="00AD1E40"/>
    <w:rsid w:val="00AD2ED0"/>
    <w:rsid w:val="00AD2F0D"/>
    <w:rsid w:val="00AD322C"/>
    <w:rsid w:val="00AD3F94"/>
    <w:rsid w:val="00AD40BB"/>
    <w:rsid w:val="00AD424F"/>
    <w:rsid w:val="00AD489C"/>
    <w:rsid w:val="00AD49F6"/>
    <w:rsid w:val="00AD4A5A"/>
    <w:rsid w:val="00AD4A96"/>
    <w:rsid w:val="00AD4C52"/>
    <w:rsid w:val="00AD5145"/>
    <w:rsid w:val="00AD58F2"/>
    <w:rsid w:val="00AD5D20"/>
    <w:rsid w:val="00AD66B7"/>
    <w:rsid w:val="00AD6A50"/>
    <w:rsid w:val="00AD6D17"/>
    <w:rsid w:val="00AD6F77"/>
    <w:rsid w:val="00AD6FFE"/>
    <w:rsid w:val="00AD702A"/>
    <w:rsid w:val="00AD73D7"/>
    <w:rsid w:val="00AD77C6"/>
    <w:rsid w:val="00AD7ED3"/>
    <w:rsid w:val="00AE04E3"/>
    <w:rsid w:val="00AE0F55"/>
    <w:rsid w:val="00AE1157"/>
    <w:rsid w:val="00AE1AAD"/>
    <w:rsid w:val="00AE1AAF"/>
    <w:rsid w:val="00AE2174"/>
    <w:rsid w:val="00AE2582"/>
    <w:rsid w:val="00AE2610"/>
    <w:rsid w:val="00AE27AC"/>
    <w:rsid w:val="00AE30AC"/>
    <w:rsid w:val="00AE393E"/>
    <w:rsid w:val="00AE3E3A"/>
    <w:rsid w:val="00AE40E0"/>
    <w:rsid w:val="00AE4290"/>
    <w:rsid w:val="00AE4A3D"/>
    <w:rsid w:val="00AE4DBA"/>
    <w:rsid w:val="00AE4F07"/>
    <w:rsid w:val="00AE505C"/>
    <w:rsid w:val="00AE50CD"/>
    <w:rsid w:val="00AE537C"/>
    <w:rsid w:val="00AE676E"/>
    <w:rsid w:val="00AE688D"/>
    <w:rsid w:val="00AE6A93"/>
    <w:rsid w:val="00AE6B17"/>
    <w:rsid w:val="00AE6BFC"/>
    <w:rsid w:val="00AE6F30"/>
    <w:rsid w:val="00AE758D"/>
    <w:rsid w:val="00AF04B7"/>
    <w:rsid w:val="00AF0A73"/>
    <w:rsid w:val="00AF0D69"/>
    <w:rsid w:val="00AF0FD8"/>
    <w:rsid w:val="00AF11F4"/>
    <w:rsid w:val="00AF1B3D"/>
    <w:rsid w:val="00AF1C5D"/>
    <w:rsid w:val="00AF1DE6"/>
    <w:rsid w:val="00AF1EEA"/>
    <w:rsid w:val="00AF2189"/>
    <w:rsid w:val="00AF294F"/>
    <w:rsid w:val="00AF2A70"/>
    <w:rsid w:val="00AF2D76"/>
    <w:rsid w:val="00AF2EFC"/>
    <w:rsid w:val="00AF3C33"/>
    <w:rsid w:val="00AF3D1C"/>
    <w:rsid w:val="00AF42D7"/>
    <w:rsid w:val="00AF4300"/>
    <w:rsid w:val="00AF45E3"/>
    <w:rsid w:val="00AF4E80"/>
    <w:rsid w:val="00AF552F"/>
    <w:rsid w:val="00AF58A1"/>
    <w:rsid w:val="00AF58DC"/>
    <w:rsid w:val="00AF5B8F"/>
    <w:rsid w:val="00AF5EE6"/>
    <w:rsid w:val="00AF6BDE"/>
    <w:rsid w:val="00AF752F"/>
    <w:rsid w:val="00AF79F8"/>
    <w:rsid w:val="00AF7E4E"/>
    <w:rsid w:val="00B001CC"/>
    <w:rsid w:val="00B0022E"/>
    <w:rsid w:val="00B006FE"/>
    <w:rsid w:val="00B007CB"/>
    <w:rsid w:val="00B00BA2"/>
    <w:rsid w:val="00B00EDF"/>
    <w:rsid w:val="00B01615"/>
    <w:rsid w:val="00B01774"/>
    <w:rsid w:val="00B0200F"/>
    <w:rsid w:val="00B02755"/>
    <w:rsid w:val="00B02AA9"/>
    <w:rsid w:val="00B02FA3"/>
    <w:rsid w:val="00B031CE"/>
    <w:rsid w:val="00B03634"/>
    <w:rsid w:val="00B03646"/>
    <w:rsid w:val="00B03909"/>
    <w:rsid w:val="00B03A30"/>
    <w:rsid w:val="00B03B01"/>
    <w:rsid w:val="00B03BF5"/>
    <w:rsid w:val="00B04BC9"/>
    <w:rsid w:val="00B05084"/>
    <w:rsid w:val="00B0553D"/>
    <w:rsid w:val="00B0581E"/>
    <w:rsid w:val="00B05BE5"/>
    <w:rsid w:val="00B05FE0"/>
    <w:rsid w:val="00B062E9"/>
    <w:rsid w:val="00B06ADD"/>
    <w:rsid w:val="00B06AFA"/>
    <w:rsid w:val="00B06C44"/>
    <w:rsid w:val="00B06CC3"/>
    <w:rsid w:val="00B06D88"/>
    <w:rsid w:val="00B06FE6"/>
    <w:rsid w:val="00B07000"/>
    <w:rsid w:val="00B075F1"/>
    <w:rsid w:val="00B079E8"/>
    <w:rsid w:val="00B07AB8"/>
    <w:rsid w:val="00B07F86"/>
    <w:rsid w:val="00B1023B"/>
    <w:rsid w:val="00B11371"/>
    <w:rsid w:val="00B11589"/>
    <w:rsid w:val="00B11C63"/>
    <w:rsid w:val="00B12137"/>
    <w:rsid w:val="00B121CD"/>
    <w:rsid w:val="00B12619"/>
    <w:rsid w:val="00B12687"/>
    <w:rsid w:val="00B12DC9"/>
    <w:rsid w:val="00B13168"/>
    <w:rsid w:val="00B13BA0"/>
    <w:rsid w:val="00B13DE6"/>
    <w:rsid w:val="00B143A3"/>
    <w:rsid w:val="00B148B7"/>
    <w:rsid w:val="00B148EF"/>
    <w:rsid w:val="00B14AC7"/>
    <w:rsid w:val="00B154CB"/>
    <w:rsid w:val="00B15583"/>
    <w:rsid w:val="00B157F9"/>
    <w:rsid w:val="00B15D3D"/>
    <w:rsid w:val="00B16438"/>
    <w:rsid w:val="00B16757"/>
    <w:rsid w:val="00B16DDB"/>
    <w:rsid w:val="00B16EA7"/>
    <w:rsid w:val="00B17186"/>
    <w:rsid w:val="00B17503"/>
    <w:rsid w:val="00B17D04"/>
    <w:rsid w:val="00B17D30"/>
    <w:rsid w:val="00B17EB9"/>
    <w:rsid w:val="00B201CF"/>
    <w:rsid w:val="00B20256"/>
    <w:rsid w:val="00B2069C"/>
    <w:rsid w:val="00B20972"/>
    <w:rsid w:val="00B20D09"/>
    <w:rsid w:val="00B213DE"/>
    <w:rsid w:val="00B21421"/>
    <w:rsid w:val="00B21E73"/>
    <w:rsid w:val="00B22645"/>
    <w:rsid w:val="00B227C5"/>
    <w:rsid w:val="00B229DB"/>
    <w:rsid w:val="00B22F8F"/>
    <w:rsid w:val="00B22FD5"/>
    <w:rsid w:val="00B236C8"/>
    <w:rsid w:val="00B23C2E"/>
    <w:rsid w:val="00B24221"/>
    <w:rsid w:val="00B24D5C"/>
    <w:rsid w:val="00B26024"/>
    <w:rsid w:val="00B263DF"/>
    <w:rsid w:val="00B26C20"/>
    <w:rsid w:val="00B26EA5"/>
    <w:rsid w:val="00B270E8"/>
    <w:rsid w:val="00B2713A"/>
    <w:rsid w:val="00B271C0"/>
    <w:rsid w:val="00B2763F"/>
    <w:rsid w:val="00B27AAC"/>
    <w:rsid w:val="00B27C80"/>
    <w:rsid w:val="00B27CAC"/>
    <w:rsid w:val="00B3031B"/>
    <w:rsid w:val="00B30929"/>
    <w:rsid w:val="00B3115B"/>
    <w:rsid w:val="00B31228"/>
    <w:rsid w:val="00B313F1"/>
    <w:rsid w:val="00B316AD"/>
    <w:rsid w:val="00B31D6A"/>
    <w:rsid w:val="00B31FE3"/>
    <w:rsid w:val="00B3208B"/>
    <w:rsid w:val="00B32307"/>
    <w:rsid w:val="00B32976"/>
    <w:rsid w:val="00B329F8"/>
    <w:rsid w:val="00B32F42"/>
    <w:rsid w:val="00B33959"/>
    <w:rsid w:val="00B33ADE"/>
    <w:rsid w:val="00B33AEA"/>
    <w:rsid w:val="00B33CA4"/>
    <w:rsid w:val="00B33DA9"/>
    <w:rsid w:val="00B34784"/>
    <w:rsid w:val="00B350F6"/>
    <w:rsid w:val="00B353FC"/>
    <w:rsid w:val="00B35FB3"/>
    <w:rsid w:val="00B36291"/>
    <w:rsid w:val="00B36401"/>
    <w:rsid w:val="00B366FF"/>
    <w:rsid w:val="00B36B40"/>
    <w:rsid w:val="00B372AA"/>
    <w:rsid w:val="00B372F8"/>
    <w:rsid w:val="00B37AD2"/>
    <w:rsid w:val="00B37F04"/>
    <w:rsid w:val="00B402A4"/>
    <w:rsid w:val="00B40382"/>
    <w:rsid w:val="00B40445"/>
    <w:rsid w:val="00B40825"/>
    <w:rsid w:val="00B4086C"/>
    <w:rsid w:val="00B409E0"/>
    <w:rsid w:val="00B40E87"/>
    <w:rsid w:val="00B4130C"/>
    <w:rsid w:val="00B414BF"/>
    <w:rsid w:val="00B4158A"/>
    <w:rsid w:val="00B41888"/>
    <w:rsid w:val="00B41C0A"/>
    <w:rsid w:val="00B420C1"/>
    <w:rsid w:val="00B42D1A"/>
    <w:rsid w:val="00B434ED"/>
    <w:rsid w:val="00B4364F"/>
    <w:rsid w:val="00B43799"/>
    <w:rsid w:val="00B43AFD"/>
    <w:rsid w:val="00B443EC"/>
    <w:rsid w:val="00B44655"/>
    <w:rsid w:val="00B446AE"/>
    <w:rsid w:val="00B44B70"/>
    <w:rsid w:val="00B44D3E"/>
    <w:rsid w:val="00B44F60"/>
    <w:rsid w:val="00B45021"/>
    <w:rsid w:val="00B45291"/>
    <w:rsid w:val="00B45687"/>
    <w:rsid w:val="00B4570D"/>
    <w:rsid w:val="00B4599B"/>
    <w:rsid w:val="00B45A52"/>
    <w:rsid w:val="00B45DB5"/>
    <w:rsid w:val="00B45DF1"/>
    <w:rsid w:val="00B45F46"/>
    <w:rsid w:val="00B45F6E"/>
    <w:rsid w:val="00B46175"/>
    <w:rsid w:val="00B463C2"/>
    <w:rsid w:val="00B46511"/>
    <w:rsid w:val="00B46986"/>
    <w:rsid w:val="00B46ACB"/>
    <w:rsid w:val="00B46BA5"/>
    <w:rsid w:val="00B46BB5"/>
    <w:rsid w:val="00B47018"/>
    <w:rsid w:val="00B4714E"/>
    <w:rsid w:val="00B4759E"/>
    <w:rsid w:val="00B476D2"/>
    <w:rsid w:val="00B50210"/>
    <w:rsid w:val="00B504B9"/>
    <w:rsid w:val="00B50BBB"/>
    <w:rsid w:val="00B50C03"/>
    <w:rsid w:val="00B520A5"/>
    <w:rsid w:val="00B520FF"/>
    <w:rsid w:val="00B522FA"/>
    <w:rsid w:val="00B52C44"/>
    <w:rsid w:val="00B53263"/>
    <w:rsid w:val="00B53A87"/>
    <w:rsid w:val="00B53D4B"/>
    <w:rsid w:val="00B546AC"/>
    <w:rsid w:val="00B548B7"/>
    <w:rsid w:val="00B54EF4"/>
    <w:rsid w:val="00B54F57"/>
    <w:rsid w:val="00B54FC1"/>
    <w:rsid w:val="00B55683"/>
    <w:rsid w:val="00B5583E"/>
    <w:rsid w:val="00B55853"/>
    <w:rsid w:val="00B55AE3"/>
    <w:rsid w:val="00B56470"/>
    <w:rsid w:val="00B56BE0"/>
    <w:rsid w:val="00B56E27"/>
    <w:rsid w:val="00B56F10"/>
    <w:rsid w:val="00B57CC7"/>
    <w:rsid w:val="00B60191"/>
    <w:rsid w:val="00B60F05"/>
    <w:rsid w:val="00B612DF"/>
    <w:rsid w:val="00B616CB"/>
    <w:rsid w:val="00B61D91"/>
    <w:rsid w:val="00B61F38"/>
    <w:rsid w:val="00B62392"/>
    <w:rsid w:val="00B6314D"/>
    <w:rsid w:val="00B635B0"/>
    <w:rsid w:val="00B63A7C"/>
    <w:rsid w:val="00B64E83"/>
    <w:rsid w:val="00B65295"/>
    <w:rsid w:val="00B652CA"/>
    <w:rsid w:val="00B65A4F"/>
    <w:rsid w:val="00B664C7"/>
    <w:rsid w:val="00B665DB"/>
    <w:rsid w:val="00B666BE"/>
    <w:rsid w:val="00B66AB5"/>
    <w:rsid w:val="00B66CBF"/>
    <w:rsid w:val="00B66E0D"/>
    <w:rsid w:val="00B66F01"/>
    <w:rsid w:val="00B67B32"/>
    <w:rsid w:val="00B67C07"/>
    <w:rsid w:val="00B701B5"/>
    <w:rsid w:val="00B70B1F"/>
    <w:rsid w:val="00B711EE"/>
    <w:rsid w:val="00B713D8"/>
    <w:rsid w:val="00B71E9E"/>
    <w:rsid w:val="00B71EF1"/>
    <w:rsid w:val="00B723E0"/>
    <w:rsid w:val="00B7291E"/>
    <w:rsid w:val="00B7325F"/>
    <w:rsid w:val="00B7339A"/>
    <w:rsid w:val="00B739F6"/>
    <w:rsid w:val="00B73A81"/>
    <w:rsid w:val="00B73ACB"/>
    <w:rsid w:val="00B73F22"/>
    <w:rsid w:val="00B747F0"/>
    <w:rsid w:val="00B74AEA"/>
    <w:rsid w:val="00B74D4D"/>
    <w:rsid w:val="00B75636"/>
    <w:rsid w:val="00B75C7B"/>
    <w:rsid w:val="00B75FEE"/>
    <w:rsid w:val="00B760AE"/>
    <w:rsid w:val="00B7639F"/>
    <w:rsid w:val="00B765FB"/>
    <w:rsid w:val="00B76E38"/>
    <w:rsid w:val="00B771EF"/>
    <w:rsid w:val="00B77284"/>
    <w:rsid w:val="00B773BB"/>
    <w:rsid w:val="00B7761D"/>
    <w:rsid w:val="00B77B21"/>
    <w:rsid w:val="00B8010A"/>
    <w:rsid w:val="00B801F0"/>
    <w:rsid w:val="00B8034E"/>
    <w:rsid w:val="00B80666"/>
    <w:rsid w:val="00B812AD"/>
    <w:rsid w:val="00B8193D"/>
    <w:rsid w:val="00B81A6C"/>
    <w:rsid w:val="00B81EF8"/>
    <w:rsid w:val="00B82427"/>
    <w:rsid w:val="00B82585"/>
    <w:rsid w:val="00B8287C"/>
    <w:rsid w:val="00B8299D"/>
    <w:rsid w:val="00B83C95"/>
    <w:rsid w:val="00B83D89"/>
    <w:rsid w:val="00B83EEC"/>
    <w:rsid w:val="00B844C8"/>
    <w:rsid w:val="00B84581"/>
    <w:rsid w:val="00B84E20"/>
    <w:rsid w:val="00B85087"/>
    <w:rsid w:val="00B85AB9"/>
    <w:rsid w:val="00B85DE5"/>
    <w:rsid w:val="00B85EDE"/>
    <w:rsid w:val="00B86967"/>
    <w:rsid w:val="00B86E9B"/>
    <w:rsid w:val="00B87295"/>
    <w:rsid w:val="00B87919"/>
    <w:rsid w:val="00B87CE7"/>
    <w:rsid w:val="00B90072"/>
    <w:rsid w:val="00B9034F"/>
    <w:rsid w:val="00B90864"/>
    <w:rsid w:val="00B90A0B"/>
    <w:rsid w:val="00B90F73"/>
    <w:rsid w:val="00B9102E"/>
    <w:rsid w:val="00B9191F"/>
    <w:rsid w:val="00B91A04"/>
    <w:rsid w:val="00B91F9A"/>
    <w:rsid w:val="00B92568"/>
    <w:rsid w:val="00B929E5"/>
    <w:rsid w:val="00B93B59"/>
    <w:rsid w:val="00B93E25"/>
    <w:rsid w:val="00B93E92"/>
    <w:rsid w:val="00B9406A"/>
    <w:rsid w:val="00B940A0"/>
    <w:rsid w:val="00B941C2"/>
    <w:rsid w:val="00B94C6C"/>
    <w:rsid w:val="00B94E35"/>
    <w:rsid w:val="00B95772"/>
    <w:rsid w:val="00B95DB5"/>
    <w:rsid w:val="00B960C4"/>
    <w:rsid w:val="00B96EC0"/>
    <w:rsid w:val="00B96F05"/>
    <w:rsid w:val="00BA016F"/>
    <w:rsid w:val="00BA0999"/>
    <w:rsid w:val="00BA10A8"/>
    <w:rsid w:val="00BA1F56"/>
    <w:rsid w:val="00BA1FD3"/>
    <w:rsid w:val="00BA21D6"/>
    <w:rsid w:val="00BA2280"/>
    <w:rsid w:val="00BA2A08"/>
    <w:rsid w:val="00BA3159"/>
    <w:rsid w:val="00BA35DF"/>
    <w:rsid w:val="00BA3AF3"/>
    <w:rsid w:val="00BA3E77"/>
    <w:rsid w:val="00BA44C7"/>
    <w:rsid w:val="00BA44E0"/>
    <w:rsid w:val="00BA5166"/>
    <w:rsid w:val="00BA56A6"/>
    <w:rsid w:val="00BA56D2"/>
    <w:rsid w:val="00BA59BE"/>
    <w:rsid w:val="00BA5C91"/>
    <w:rsid w:val="00BA5F8B"/>
    <w:rsid w:val="00BA6447"/>
    <w:rsid w:val="00BA6597"/>
    <w:rsid w:val="00BA661A"/>
    <w:rsid w:val="00BA66AA"/>
    <w:rsid w:val="00BA67FA"/>
    <w:rsid w:val="00BA7451"/>
    <w:rsid w:val="00BA76B7"/>
    <w:rsid w:val="00BA76E0"/>
    <w:rsid w:val="00BA7E25"/>
    <w:rsid w:val="00BB008A"/>
    <w:rsid w:val="00BB09AA"/>
    <w:rsid w:val="00BB0E7A"/>
    <w:rsid w:val="00BB1A34"/>
    <w:rsid w:val="00BB204A"/>
    <w:rsid w:val="00BB2A25"/>
    <w:rsid w:val="00BB2E3D"/>
    <w:rsid w:val="00BB2E97"/>
    <w:rsid w:val="00BB3324"/>
    <w:rsid w:val="00BB3348"/>
    <w:rsid w:val="00BB355A"/>
    <w:rsid w:val="00BB36A8"/>
    <w:rsid w:val="00BB3B49"/>
    <w:rsid w:val="00BB3EEC"/>
    <w:rsid w:val="00BB423F"/>
    <w:rsid w:val="00BB4BF1"/>
    <w:rsid w:val="00BB51E9"/>
    <w:rsid w:val="00BB5314"/>
    <w:rsid w:val="00BB5506"/>
    <w:rsid w:val="00BB5836"/>
    <w:rsid w:val="00BB632A"/>
    <w:rsid w:val="00BB668C"/>
    <w:rsid w:val="00BB67CD"/>
    <w:rsid w:val="00BB6B95"/>
    <w:rsid w:val="00BB6C38"/>
    <w:rsid w:val="00BB6D2B"/>
    <w:rsid w:val="00BB6E1A"/>
    <w:rsid w:val="00BB73DE"/>
    <w:rsid w:val="00BB7684"/>
    <w:rsid w:val="00BB7797"/>
    <w:rsid w:val="00BB7ACB"/>
    <w:rsid w:val="00BB7ACE"/>
    <w:rsid w:val="00BB7FE0"/>
    <w:rsid w:val="00BC04A0"/>
    <w:rsid w:val="00BC05CA"/>
    <w:rsid w:val="00BC09D4"/>
    <w:rsid w:val="00BC0DF1"/>
    <w:rsid w:val="00BC0FDC"/>
    <w:rsid w:val="00BC1305"/>
    <w:rsid w:val="00BC1D06"/>
    <w:rsid w:val="00BC1E49"/>
    <w:rsid w:val="00BC202A"/>
    <w:rsid w:val="00BC210A"/>
    <w:rsid w:val="00BC2777"/>
    <w:rsid w:val="00BC2C09"/>
    <w:rsid w:val="00BC2D65"/>
    <w:rsid w:val="00BC3053"/>
    <w:rsid w:val="00BC3365"/>
    <w:rsid w:val="00BC345F"/>
    <w:rsid w:val="00BC372B"/>
    <w:rsid w:val="00BC3C26"/>
    <w:rsid w:val="00BC40A0"/>
    <w:rsid w:val="00BC40A2"/>
    <w:rsid w:val="00BC413E"/>
    <w:rsid w:val="00BC4BA2"/>
    <w:rsid w:val="00BC4D2E"/>
    <w:rsid w:val="00BC5751"/>
    <w:rsid w:val="00BC5E51"/>
    <w:rsid w:val="00BC6444"/>
    <w:rsid w:val="00BC67CB"/>
    <w:rsid w:val="00BC6C48"/>
    <w:rsid w:val="00BC7A99"/>
    <w:rsid w:val="00BD0761"/>
    <w:rsid w:val="00BD090A"/>
    <w:rsid w:val="00BD117D"/>
    <w:rsid w:val="00BD1424"/>
    <w:rsid w:val="00BD204B"/>
    <w:rsid w:val="00BD2C97"/>
    <w:rsid w:val="00BD2DD6"/>
    <w:rsid w:val="00BD2F36"/>
    <w:rsid w:val="00BD37AA"/>
    <w:rsid w:val="00BD3824"/>
    <w:rsid w:val="00BD389F"/>
    <w:rsid w:val="00BD3C9D"/>
    <w:rsid w:val="00BD43B5"/>
    <w:rsid w:val="00BD440D"/>
    <w:rsid w:val="00BD45BB"/>
    <w:rsid w:val="00BD4670"/>
    <w:rsid w:val="00BD48AC"/>
    <w:rsid w:val="00BD4FB8"/>
    <w:rsid w:val="00BD59FE"/>
    <w:rsid w:val="00BD5F1A"/>
    <w:rsid w:val="00BD61F4"/>
    <w:rsid w:val="00BD6313"/>
    <w:rsid w:val="00BD67C1"/>
    <w:rsid w:val="00BD6A07"/>
    <w:rsid w:val="00BD6B65"/>
    <w:rsid w:val="00BD6C8C"/>
    <w:rsid w:val="00BD7EC4"/>
    <w:rsid w:val="00BE038D"/>
    <w:rsid w:val="00BE0BEF"/>
    <w:rsid w:val="00BE0E23"/>
    <w:rsid w:val="00BE112E"/>
    <w:rsid w:val="00BE1234"/>
    <w:rsid w:val="00BE1633"/>
    <w:rsid w:val="00BE16B8"/>
    <w:rsid w:val="00BE1930"/>
    <w:rsid w:val="00BE232E"/>
    <w:rsid w:val="00BE24DD"/>
    <w:rsid w:val="00BE2561"/>
    <w:rsid w:val="00BE2BBC"/>
    <w:rsid w:val="00BE2BC4"/>
    <w:rsid w:val="00BE2D6F"/>
    <w:rsid w:val="00BE2FA6"/>
    <w:rsid w:val="00BE333F"/>
    <w:rsid w:val="00BE347F"/>
    <w:rsid w:val="00BE3A5A"/>
    <w:rsid w:val="00BE4373"/>
    <w:rsid w:val="00BE5C0F"/>
    <w:rsid w:val="00BE5C15"/>
    <w:rsid w:val="00BE611F"/>
    <w:rsid w:val="00BE6D04"/>
    <w:rsid w:val="00BE7406"/>
    <w:rsid w:val="00BE7603"/>
    <w:rsid w:val="00BE7B79"/>
    <w:rsid w:val="00BF024E"/>
    <w:rsid w:val="00BF03FE"/>
    <w:rsid w:val="00BF0416"/>
    <w:rsid w:val="00BF109E"/>
    <w:rsid w:val="00BF12EA"/>
    <w:rsid w:val="00BF159C"/>
    <w:rsid w:val="00BF18E5"/>
    <w:rsid w:val="00BF1E04"/>
    <w:rsid w:val="00BF1F83"/>
    <w:rsid w:val="00BF249B"/>
    <w:rsid w:val="00BF25A8"/>
    <w:rsid w:val="00BF2743"/>
    <w:rsid w:val="00BF27E3"/>
    <w:rsid w:val="00BF2BA4"/>
    <w:rsid w:val="00BF2CEF"/>
    <w:rsid w:val="00BF2D81"/>
    <w:rsid w:val="00BF2ECF"/>
    <w:rsid w:val="00BF3279"/>
    <w:rsid w:val="00BF37BF"/>
    <w:rsid w:val="00BF3C58"/>
    <w:rsid w:val="00BF3D9B"/>
    <w:rsid w:val="00BF40B0"/>
    <w:rsid w:val="00BF4386"/>
    <w:rsid w:val="00BF4A09"/>
    <w:rsid w:val="00BF4A8F"/>
    <w:rsid w:val="00BF4AB9"/>
    <w:rsid w:val="00BF4BD5"/>
    <w:rsid w:val="00BF5380"/>
    <w:rsid w:val="00BF60D5"/>
    <w:rsid w:val="00BF656C"/>
    <w:rsid w:val="00BF6618"/>
    <w:rsid w:val="00BF68ED"/>
    <w:rsid w:val="00BF6940"/>
    <w:rsid w:val="00BF70A0"/>
    <w:rsid w:val="00BF7127"/>
    <w:rsid w:val="00BF74C7"/>
    <w:rsid w:val="00BF750D"/>
    <w:rsid w:val="00BF7DEB"/>
    <w:rsid w:val="00BF7FA9"/>
    <w:rsid w:val="00C00112"/>
    <w:rsid w:val="00C00148"/>
    <w:rsid w:val="00C00679"/>
    <w:rsid w:val="00C011F0"/>
    <w:rsid w:val="00C0137F"/>
    <w:rsid w:val="00C015F1"/>
    <w:rsid w:val="00C01B7F"/>
    <w:rsid w:val="00C01F33"/>
    <w:rsid w:val="00C02059"/>
    <w:rsid w:val="00C029E8"/>
    <w:rsid w:val="00C02BD4"/>
    <w:rsid w:val="00C02CC6"/>
    <w:rsid w:val="00C02F03"/>
    <w:rsid w:val="00C0314D"/>
    <w:rsid w:val="00C038E7"/>
    <w:rsid w:val="00C03C01"/>
    <w:rsid w:val="00C040F7"/>
    <w:rsid w:val="00C04161"/>
    <w:rsid w:val="00C044AB"/>
    <w:rsid w:val="00C046D5"/>
    <w:rsid w:val="00C048C9"/>
    <w:rsid w:val="00C04CC3"/>
    <w:rsid w:val="00C04CCC"/>
    <w:rsid w:val="00C0508A"/>
    <w:rsid w:val="00C0553E"/>
    <w:rsid w:val="00C05706"/>
    <w:rsid w:val="00C05779"/>
    <w:rsid w:val="00C05A00"/>
    <w:rsid w:val="00C05A41"/>
    <w:rsid w:val="00C05E8C"/>
    <w:rsid w:val="00C06549"/>
    <w:rsid w:val="00C068A9"/>
    <w:rsid w:val="00C06C42"/>
    <w:rsid w:val="00C06CB0"/>
    <w:rsid w:val="00C06D92"/>
    <w:rsid w:val="00C06ED3"/>
    <w:rsid w:val="00C0723F"/>
    <w:rsid w:val="00C07377"/>
    <w:rsid w:val="00C07850"/>
    <w:rsid w:val="00C07E5B"/>
    <w:rsid w:val="00C10326"/>
    <w:rsid w:val="00C10478"/>
    <w:rsid w:val="00C105B6"/>
    <w:rsid w:val="00C11085"/>
    <w:rsid w:val="00C11271"/>
    <w:rsid w:val="00C114F3"/>
    <w:rsid w:val="00C11F5E"/>
    <w:rsid w:val="00C12084"/>
    <w:rsid w:val="00C12107"/>
    <w:rsid w:val="00C1228B"/>
    <w:rsid w:val="00C12B51"/>
    <w:rsid w:val="00C12C6F"/>
    <w:rsid w:val="00C1398F"/>
    <w:rsid w:val="00C13B07"/>
    <w:rsid w:val="00C13C1D"/>
    <w:rsid w:val="00C13EDA"/>
    <w:rsid w:val="00C1405D"/>
    <w:rsid w:val="00C14218"/>
    <w:rsid w:val="00C1447F"/>
    <w:rsid w:val="00C14868"/>
    <w:rsid w:val="00C14D4B"/>
    <w:rsid w:val="00C15094"/>
    <w:rsid w:val="00C151A1"/>
    <w:rsid w:val="00C15493"/>
    <w:rsid w:val="00C154BB"/>
    <w:rsid w:val="00C1579A"/>
    <w:rsid w:val="00C15827"/>
    <w:rsid w:val="00C15BF1"/>
    <w:rsid w:val="00C1616B"/>
    <w:rsid w:val="00C161FD"/>
    <w:rsid w:val="00C16305"/>
    <w:rsid w:val="00C164DF"/>
    <w:rsid w:val="00C17266"/>
    <w:rsid w:val="00C17618"/>
    <w:rsid w:val="00C178F7"/>
    <w:rsid w:val="00C17CE9"/>
    <w:rsid w:val="00C2031B"/>
    <w:rsid w:val="00C203CA"/>
    <w:rsid w:val="00C20A1A"/>
    <w:rsid w:val="00C20CE7"/>
    <w:rsid w:val="00C2112B"/>
    <w:rsid w:val="00C211BB"/>
    <w:rsid w:val="00C21245"/>
    <w:rsid w:val="00C214B0"/>
    <w:rsid w:val="00C219DF"/>
    <w:rsid w:val="00C21A12"/>
    <w:rsid w:val="00C22443"/>
    <w:rsid w:val="00C2248E"/>
    <w:rsid w:val="00C22654"/>
    <w:rsid w:val="00C23080"/>
    <w:rsid w:val="00C23642"/>
    <w:rsid w:val="00C238E7"/>
    <w:rsid w:val="00C239E1"/>
    <w:rsid w:val="00C24C1F"/>
    <w:rsid w:val="00C24C42"/>
    <w:rsid w:val="00C253FD"/>
    <w:rsid w:val="00C25A97"/>
    <w:rsid w:val="00C25D59"/>
    <w:rsid w:val="00C2606D"/>
    <w:rsid w:val="00C26311"/>
    <w:rsid w:val="00C26B86"/>
    <w:rsid w:val="00C279B5"/>
    <w:rsid w:val="00C27C45"/>
    <w:rsid w:val="00C302D3"/>
    <w:rsid w:val="00C304A8"/>
    <w:rsid w:val="00C30BB1"/>
    <w:rsid w:val="00C30C8A"/>
    <w:rsid w:val="00C30D85"/>
    <w:rsid w:val="00C30DFD"/>
    <w:rsid w:val="00C311C4"/>
    <w:rsid w:val="00C31D50"/>
    <w:rsid w:val="00C31EC8"/>
    <w:rsid w:val="00C326F8"/>
    <w:rsid w:val="00C3276D"/>
    <w:rsid w:val="00C32EEF"/>
    <w:rsid w:val="00C33486"/>
    <w:rsid w:val="00C335AB"/>
    <w:rsid w:val="00C33E2C"/>
    <w:rsid w:val="00C34048"/>
    <w:rsid w:val="00C3434B"/>
    <w:rsid w:val="00C343D0"/>
    <w:rsid w:val="00C34450"/>
    <w:rsid w:val="00C34A12"/>
    <w:rsid w:val="00C350F2"/>
    <w:rsid w:val="00C351BC"/>
    <w:rsid w:val="00C35248"/>
    <w:rsid w:val="00C35BE4"/>
    <w:rsid w:val="00C361DD"/>
    <w:rsid w:val="00C36A9A"/>
    <w:rsid w:val="00C3719D"/>
    <w:rsid w:val="00C371F9"/>
    <w:rsid w:val="00C37227"/>
    <w:rsid w:val="00C37268"/>
    <w:rsid w:val="00C373DC"/>
    <w:rsid w:val="00C37440"/>
    <w:rsid w:val="00C37955"/>
    <w:rsid w:val="00C37CB2"/>
    <w:rsid w:val="00C37CD7"/>
    <w:rsid w:val="00C40616"/>
    <w:rsid w:val="00C408FA"/>
    <w:rsid w:val="00C40BE8"/>
    <w:rsid w:val="00C40C22"/>
    <w:rsid w:val="00C41266"/>
    <w:rsid w:val="00C4257C"/>
    <w:rsid w:val="00C4265C"/>
    <w:rsid w:val="00C428CF"/>
    <w:rsid w:val="00C42B8C"/>
    <w:rsid w:val="00C42E53"/>
    <w:rsid w:val="00C4306C"/>
    <w:rsid w:val="00C43D9D"/>
    <w:rsid w:val="00C440A5"/>
    <w:rsid w:val="00C444B9"/>
    <w:rsid w:val="00C44E2F"/>
    <w:rsid w:val="00C45972"/>
    <w:rsid w:val="00C45BF0"/>
    <w:rsid w:val="00C461DD"/>
    <w:rsid w:val="00C463DA"/>
    <w:rsid w:val="00C4643F"/>
    <w:rsid w:val="00C46515"/>
    <w:rsid w:val="00C468CA"/>
    <w:rsid w:val="00C46A90"/>
    <w:rsid w:val="00C46C87"/>
    <w:rsid w:val="00C46CD8"/>
    <w:rsid w:val="00C46DDB"/>
    <w:rsid w:val="00C473A5"/>
    <w:rsid w:val="00C47BFA"/>
    <w:rsid w:val="00C47C13"/>
    <w:rsid w:val="00C47F76"/>
    <w:rsid w:val="00C500C8"/>
    <w:rsid w:val="00C5081D"/>
    <w:rsid w:val="00C50F28"/>
    <w:rsid w:val="00C510F4"/>
    <w:rsid w:val="00C51C2A"/>
    <w:rsid w:val="00C51D80"/>
    <w:rsid w:val="00C52017"/>
    <w:rsid w:val="00C52359"/>
    <w:rsid w:val="00C526BA"/>
    <w:rsid w:val="00C52D35"/>
    <w:rsid w:val="00C53028"/>
    <w:rsid w:val="00C5318E"/>
    <w:rsid w:val="00C53486"/>
    <w:rsid w:val="00C53CCA"/>
    <w:rsid w:val="00C54080"/>
    <w:rsid w:val="00C54995"/>
    <w:rsid w:val="00C54D41"/>
    <w:rsid w:val="00C55101"/>
    <w:rsid w:val="00C55253"/>
    <w:rsid w:val="00C55578"/>
    <w:rsid w:val="00C55718"/>
    <w:rsid w:val="00C55819"/>
    <w:rsid w:val="00C55EB4"/>
    <w:rsid w:val="00C55EB7"/>
    <w:rsid w:val="00C56205"/>
    <w:rsid w:val="00C562D4"/>
    <w:rsid w:val="00C56BA0"/>
    <w:rsid w:val="00C56C71"/>
    <w:rsid w:val="00C57250"/>
    <w:rsid w:val="00C5787D"/>
    <w:rsid w:val="00C601AB"/>
    <w:rsid w:val="00C602C8"/>
    <w:rsid w:val="00C60783"/>
    <w:rsid w:val="00C60787"/>
    <w:rsid w:val="00C60B5B"/>
    <w:rsid w:val="00C6129C"/>
    <w:rsid w:val="00C61A5D"/>
    <w:rsid w:val="00C61A70"/>
    <w:rsid w:val="00C61D9C"/>
    <w:rsid w:val="00C61DEA"/>
    <w:rsid w:val="00C622EA"/>
    <w:rsid w:val="00C6257F"/>
    <w:rsid w:val="00C62626"/>
    <w:rsid w:val="00C627C7"/>
    <w:rsid w:val="00C638BC"/>
    <w:rsid w:val="00C6396F"/>
    <w:rsid w:val="00C63B38"/>
    <w:rsid w:val="00C63DC0"/>
    <w:rsid w:val="00C64444"/>
    <w:rsid w:val="00C6457C"/>
    <w:rsid w:val="00C64672"/>
    <w:rsid w:val="00C647AE"/>
    <w:rsid w:val="00C64DE8"/>
    <w:rsid w:val="00C64E91"/>
    <w:rsid w:val="00C65130"/>
    <w:rsid w:val="00C6518E"/>
    <w:rsid w:val="00C65453"/>
    <w:rsid w:val="00C658C9"/>
    <w:rsid w:val="00C66B89"/>
    <w:rsid w:val="00C675C1"/>
    <w:rsid w:val="00C67B6C"/>
    <w:rsid w:val="00C67C9C"/>
    <w:rsid w:val="00C67DC3"/>
    <w:rsid w:val="00C70157"/>
    <w:rsid w:val="00C7026C"/>
    <w:rsid w:val="00C7027A"/>
    <w:rsid w:val="00C70697"/>
    <w:rsid w:val="00C7136A"/>
    <w:rsid w:val="00C717CE"/>
    <w:rsid w:val="00C71E3D"/>
    <w:rsid w:val="00C72093"/>
    <w:rsid w:val="00C72EF4"/>
    <w:rsid w:val="00C73263"/>
    <w:rsid w:val="00C732FE"/>
    <w:rsid w:val="00C7330F"/>
    <w:rsid w:val="00C73F5D"/>
    <w:rsid w:val="00C742C6"/>
    <w:rsid w:val="00C744FE"/>
    <w:rsid w:val="00C74BC3"/>
    <w:rsid w:val="00C7556C"/>
    <w:rsid w:val="00C75666"/>
    <w:rsid w:val="00C75D2F"/>
    <w:rsid w:val="00C75FBB"/>
    <w:rsid w:val="00C767BE"/>
    <w:rsid w:val="00C76E3C"/>
    <w:rsid w:val="00C777C3"/>
    <w:rsid w:val="00C77872"/>
    <w:rsid w:val="00C77891"/>
    <w:rsid w:val="00C77C01"/>
    <w:rsid w:val="00C801F5"/>
    <w:rsid w:val="00C8038A"/>
    <w:rsid w:val="00C80DB2"/>
    <w:rsid w:val="00C81439"/>
    <w:rsid w:val="00C814F1"/>
    <w:rsid w:val="00C81568"/>
    <w:rsid w:val="00C816FF"/>
    <w:rsid w:val="00C817C1"/>
    <w:rsid w:val="00C8195B"/>
    <w:rsid w:val="00C81EF7"/>
    <w:rsid w:val="00C822E5"/>
    <w:rsid w:val="00C823FD"/>
    <w:rsid w:val="00C83356"/>
    <w:rsid w:val="00C8371A"/>
    <w:rsid w:val="00C83DDA"/>
    <w:rsid w:val="00C83F22"/>
    <w:rsid w:val="00C84B79"/>
    <w:rsid w:val="00C8529E"/>
    <w:rsid w:val="00C85523"/>
    <w:rsid w:val="00C865E4"/>
    <w:rsid w:val="00C867C9"/>
    <w:rsid w:val="00C86A24"/>
    <w:rsid w:val="00C876A6"/>
    <w:rsid w:val="00C877E1"/>
    <w:rsid w:val="00C87C49"/>
    <w:rsid w:val="00C9027A"/>
    <w:rsid w:val="00C904AF"/>
    <w:rsid w:val="00C9068E"/>
    <w:rsid w:val="00C90872"/>
    <w:rsid w:val="00C90C3D"/>
    <w:rsid w:val="00C90FFB"/>
    <w:rsid w:val="00C91682"/>
    <w:rsid w:val="00C92018"/>
    <w:rsid w:val="00C9203B"/>
    <w:rsid w:val="00C9218C"/>
    <w:rsid w:val="00C92915"/>
    <w:rsid w:val="00C93530"/>
    <w:rsid w:val="00C935BF"/>
    <w:rsid w:val="00C93685"/>
    <w:rsid w:val="00C93814"/>
    <w:rsid w:val="00C93C4B"/>
    <w:rsid w:val="00C94020"/>
    <w:rsid w:val="00C944AB"/>
    <w:rsid w:val="00C94994"/>
    <w:rsid w:val="00C94B76"/>
    <w:rsid w:val="00C950F7"/>
    <w:rsid w:val="00C9586F"/>
    <w:rsid w:val="00C95B40"/>
    <w:rsid w:val="00C960B8"/>
    <w:rsid w:val="00C96858"/>
    <w:rsid w:val="00C96C96"/>
    <w:rsid w:val="00C96CF8"/>
    <w:rsid w:val="00C974CC"/>
    <w:rsid w:val="00CA01BC"/>
    <w:rsid w:val="00CA0CF7"/>
    <w:rsid w:val="00CA0F13"/>
    <w:rsid w:val="00CA122D"/>
    <w:rsid w:val="00CA144D"/>
    <w:rsid w:val="00CA1723"/>
    <w:rsid w:val="00CA184E"/>
    <w:rsid w:val="00CA1929"/>
    <w:rsid w:val="00CA19CD"/>
    <w:rsid w:val="00CA1ED8"/>
    <w:rsid w:val="00CA2058"/>
    <w:rsid w:val="00CA2F53"/>
    <w:rsid w:val="00CA367F"/>
    <w:rsid w:val="00CA39B9"/>
    <w:rsid w:val="00CA3DA1"/>
    <w:rsid w:val="00CA466E"/>
    <w:rsid w:val="00CA5249"/>
    <w:rsid w:val="00CA5377"/>
    <w:rsid w:val="00CA5778"/>
    <w:rsid w:val="00CA6356"/>
    <w:rsid w:val="00CA6783"/>
    <w:rsid w:val="00CA6866"/>
    <w:rsid w:val="00CA689C"/>
    <w:rsid w:val="00CA68F8"/>
    <w:rsid w:val="00CA6CD7"/>
    <w:rsid w:val="00CA748D"/>
    <w:rsid w:val="00CA7913"/>
    <w:rsid w:val="00CA7D2B"/>
    <w:rsid w:val="00CB0C60"/>
    <w:rsid w:val="00CB0FE7"/>
    <w:rsid w:val="00CB1055"/>
    <w:rsid w:val="00CB1279"/>
    <w:rsid w:val="00CB1DD3"/>
    <w:rsid w:val="00CB1F63"/>
    <w:rsid w:val="00CB2010"/>
    <w:rsid w:val="00CB276D"/>
    <w:rsid w:val="00CB2C84"/>
    <w:rsid w:val="00CB2FE6"/>
    <w:rsid w:val="00CB30B2"/>
    <w:rsid w:val="00CB3224"/>
    <w:rsid w:val="00CB3239"/>
    <w:rsid w:val="00CB3A20"/>
    <w:rsid w:val="00CB3B0C"/>
    <w:rsid w:val="00CB3D3D"/>
    <w:rsid w:val="00CB4115"/>
    <w:rsid w:val="00CB422B"/>
    <w:rsid w:val="00CB4640"/>
    <w:rsid w:val="00CB4F67"/>
    <w:rsid w:val="00CB5AA4"/>
    <w:rsid w:val="00CB5C6C"/>
    <w:rsid w:val="00CB6B7F"/>
    <w:rsid w:val="00CB6CF1"/>
    <w:rsid w:val="00CB7170"/>
    <w:rsid w:val="00CB7176"/>
    <w:rsid w:val="00CB7440"/>
    <w:rsid w:val="00CB7AFF"/>
    <w:rsid w:val="00CB7EF7"/>
    <w:rsid w:val="00CC040E"/>
    <w:rsid w:val="00CC0633"/>
    <w:rsid w:val="00CC06B2"/>
    <w:rsid w:val="00CC096E"/>
    <w:rsid w:val="00CC0B65"/>
    <w:rsid w:val="00CC111F"/>
    <w:rsid w:val="00CC1178"/>
    <w:rsid w:val="00CC1A03"/>
    <w:rsid w:val="00CC1E05"/>
    <w:rsid w:val="00CC1E37"/>
    <w:rsid w:val="00CC2011"/>
    <w:rsid w:val="00CC2327"/>
    <w:rsid w:val="00CC2D8F"/>
    <w:rsid w:val="00CC38AC"/>
    <w:rsid w:val="00CC3D5B"/>
    <w:rsid w:val="00CC3EA0"/>
    <w:rsid w:val="00CC3EA4"/>
    <w:rsid w:val="00CC4176"/>
    <w:rsid w:val="00CC485A"/>
    <w:rsid w:val="00CC4914"/>
    <w:rsid w:val="00CC49E0"/>
    <w:rsid w:val="00CC4E64"/>
    <w:rsid w:val="00CC5040"/>
    <w:rsid w:val="00CC54C7"/>
    <w:rsid w:val="00CC5FB7"/>
    <w:rsid w:val="00CC6138"/>
    <w:rsid w:val="00CC629A"/>
    <w:rsid w:val="00CC6477"/>
    <w:rsid w:val="00CC6BDE"/>
    <w:rsid w:val="00CC6D0D"/>
    <w:rsid w:val="00CC764E"/>
    <w:rsid w:val="00CC7B45"/>
    <w:rsid w:val="00CC7BD9"/>
    <w:rsid w:val="00CC7E01"/>
    <w:rsid w:val="00CC7EEA"/>
    <w:rsid w:val="00CD1188"/>
    <w:rsid w:val="00CD12F3"/>
    <w:rsid w:val="00CD212B"/>
    <w:rsid w:val="00CD2ED1"/>
    <w:rsid w:val="00CD3173"/>
    <w:rsid w:val="00CD337B"/>
    <w:rsid w:val="00CD36F0"/>
    <w:rsid w:val="00CD3CA5"/>
    <w:rsid w:val="00CD3D00"/>
    <w:rsid w:val="00CD40B8"/>
    <w:rsid w:val="00CD4548"/>
    <w:rsid w:val="00CD4563"/>
    <w:rsid w:val="00CD4606"/>
    <w:rsid w:val="00CD498F"/>
    <w:rsid w:val="00CD4B79"/>
    <w:rsid w:val="00CD4BD7"/>
    <w:rsid w:val="00CD50A6"/>
    <w:rsid w:val="00CD595B"/>
    <w:rsid w:val="00CD5D47"/>
    <w:rsid w:val="00CD5D49"/>
    <w:rsid w:val="00CD62D7"/>
    <w:rsid w:val="00CD683B"/>
    <w:rsid w:val="00CD68F8"/>
    <w:rsid w:val="00CD6C39"/>
    <w:rsid w:val="00CD6CBF"/>
    <w:rsid w:val="00CD7074"/>
    <w:rsid w:val="00CD78AD"/>
    <w:rsid w:val="00CD7BB0"/>
    <w:rsid w:val="00CE0060"/>
    <w:rsid w:val="00CE0424"/>
    <w:rsid w:val="00CE06CE"/>
    <w:rsid w:val="00CE0D30"/>
    <w:rsid w:val="00CE13B9"/>
    <w:rsid w:val="00CE15E5"/>
    <w:rsid w:val="00CE1D80"/>
    <w:rsid w:val="00CE21CA"/>
    <w:rsid w:val="00CE294D"/>
    <w:rsid w:val="00CE2A6C"/>
    <w:rsid w:val="00CE2F2A"/>
    <w:rsid w:val="00CE313C"/>
    <w:rsid w:val="00CE31BF"/>
    <w:rsid w:val="00CE3793"/>
    <w:rsid w:val="00CE3C52"/>
    <w:rsid w:val="00CE3C8B"/>
    <w:rsid w:val="00CE3EDE"/>
    <w:rsid w:val="00CE41FF"/>
    <w:rsid w:val="00CE5067"/>
    <w:rsid w:val="00CE55D1"/>
    <w:rsid w:val="00CE61B6"/>
    <w:rsid w:val="00CE697A"/>
    <w:rsid w:val="00CE71E4"/>
    <w:rsid w:val="00CE7312"/>
    <w:rsid w:val="00CE73E3"/>
    <w:rsid w:val="00CE7561"/>
    <w:rsid w:val="00CE792A"/>
    <w:rsid w:val="00CE7968"/>
    <w:rsid w:val="00CE7A17"/>
    <w:rsid w:val="00CE7A79"/>
    <w:rsid w:val="00CE7F74"/>
    <w:rsid w:val="00CF08FA"/>
    <w:rsid w:val="00CF0A9E"/>
    <w:rsid w:val="00CF0E6E"/>
    <w:rsid w:val="00CF1354"/>
    <w:rsid w:val="00CF146F"/>
    <w:rsid w:val="00CF1C4D"/>
    <w:rsid w:val="00CF1D9F"/>
    <w:rsid w:val="00CF1EF6"/>
    <w:rsid w:val="00CF2140"/>
    <w:rsid w:val="00CF22E1"/>
    <w:rsid w:val="00CF2498"/>
    <w:rsid w:val="00CF25EF"/>
    <w:rsid w:val="00CF270A"/>
    <w:rsid w:val="00CF3B1F"/>
    <w:rsid w:val="00CF3BF6"/>
    <w:rsid w:val="00CF3BFF"/>
    <w:rsid w:val="00CF41F0"/>
    <w:rsid w:val="00CF4C59"/>
    <w:rsid w:val="00CF548E"/>
    <w:rsid w:val="00CF54D5"/>
    <w:rsid w:val="00CF5568"/>
    <w:rsid w:val="00CF5D17"/>
    <w:rsid w:val="00CF5D85"/>
    <w:rsid w:val="00CF625B"/>
    <w:rsid w:val="00CF62E3"/>
    <w:rsid w:val="00CF63AB"/>
    <w:rsid w:val="00CF682C"/>
    <w:rsid w:val="00CF687E"/>
    <w:rsid w:val="00CF689F"/>
    <w:rsid w:val="00CF709D"/>
    <w:rsid w:val="00CF70DD"/>
    <w:rsid w:val="00CF72D7"/>
    <w:rsid w:val="00CF75AD"/>
    <w:rsid w:val="00D00815"/>
    <w:rsid w:val="00D008D0"/>
    <w:rsid w:val="00D00965"/>
    <w:rsid w:val="00D00D75"/>
    <w:rsid w:val="00D018AE"/>
    <w:rsid w:val="00D01D09"/>
    <w:rsid w:val="00D01FAF"/>
    <w:rsid w:val="00D02355"/>
    <w:rsid w:val="00D028CD"/>
    <w:rsid w:val="00D0295B"/>
    <w:rsid w:val="00D02A74"/>
    <w:rsid w:val="00D02E52"/>
    <w:rsid w:val="00D03104"/>
    <w:rsid w:val="00D0316E"/>
    <w:rsid w:val="00D0349B"/>
    <w:rsid w:val="00D03734"/>
    <w:rsid w:val="00D03C83"/>
    <w:rsid w:val="00D03E96"/>
    <w:rsid w:val="00D03F63"/>
    <w:rsid w:val="00D047AD"/>
    <w:rsid w:val="00D04815"/>
    <w:rsid w:val="00D04860"/>
    <w:rsid w:val="00D04891"/>
    <w:rsid w:val="00D05512"/>
    <w:rsid w:val="00D05741"/>
    <w:rsid w:val="00D05E1F"/>
    <w:rsid w:val="00D05E23"/>
    <w:rsid w:val="00D05E4C"/>
    <w:rsid w:val="00D063F1"/>
    <w:rsid w:val="00D06C24"/>
    <w:rsid w:val="00D0710C"/>
    <w:rsid w:val="00D07241"/>
    <w:rsid w:val="00D10249"/>
    <w:rsid w:val="00D10F2D"/>
    <w:rsid w:val="00D111FE"/>
    <w:rsid w:val="00D1124C"/>
    <w:rsid w:val="00D114CC"/>
    <w:rsid w:val="00D114E6"/>
    <w:rsid w:val="00D115C3"/>
    <w:rsid w:val="00D1169F"/>
    <w:rsid w:val="00D11897"/>
    <w:rsid w:val="00D11AAF"/>
    <w:rsid w:val="00D11B82"/>
    <w:rsid w:val="00D11EDE"/>
    <w:rsid w:val="00D11FE6"/>
    <w:rsid w:val="00D12A82"/>
    <w:rsid w:val="00D12C6A"/>
    <w:rsid w:val="00D13135"/>
    <w:rsid w:val="00D13283"/>
    <w:rsid w:val="00D1332F"/>
    <w:rsid w:val="00D134D3"/>
    <w:rsid w:val="00D135C7"/>
    <w:rsid w:val="00D13D36"/>
    <w:rsid w:val="00D13DF3"/>
    <w:rsid w:val="00D13E32"/>
    <w:rsid w:val="00D13E4E"/>
    <w:rsid w:val="00D14211"/>
    <w:rsid w:val="00D144DC"/>
    <w:rsid w:val="00D147ED"/>
    <w:rsid w:val="00D1486D"/>
    <w:rsid w:val="00D14A31"/>
    <w:rsid w:val="00D14BC3"/>
    <w:rsid w:val="00D14DDF"/>
    <w:rsid w:val="00D15691"/>
    <w:rsid w:val="00D1606D"/>
    <w:rsid w:val="00D162A7"/>
    <w:rsid w:val="00D16EBB"/>
    <w:rsid w:val="00D170F0"/>
    <w:rsid w:val="00D172CA"/>
    <w:rsid w:val="00D17732"/>
    <w:rsid w:val="00D17840"/>
    <w:rsid w:val="00D206D6"/>
    <w:rsid w:val="00D20FF4"/>
    <w:rsid w:val="00D214D9"/>
    <w:rsid w:val="00D2167C"/>
    <w:rsid w:val="00D2274D"/>
    <w:rsid w:val="00D228FB"/>
    <w:rsid w:val="00D239A7"/>
    <w:rsid w:val="00D23F47"/>
    <w:rsid w:val="00D2415D"/>
    <w:rsid w:val="00D24515"/>
    <w:rsid w:val="00D248A9"/>
    <w:rsid w:val="00D249FA"/>
    <w:rsid w:val="00D24A24"/>
    <w:rsid w:val="00D24A66"/>
    <w:rsid w:val="00D24B18"/>
    <w:rsid w:val="00D2563B"/>
    <w:rsid w:val="00D26807"/>
    <w:rsid w:val="00D269C4"/>
    <w:rsid w:val="00D26E1A"/>
    <w:rsid w:val="00D26EE0"/>
    <w:rsid w:val="00D2704E"/>
    <w:rsid w:val="00D27165"/>
    <w:rsid w:val="00D2757D"/>
    <w:rsid w:val="00D279B1"/>
    <w:rsid w:val="00D27A37"/>
    <w:rsid w:val="00D27C16"/>
    <w:rsid w:val="00D27E4F"/>
    <w:rsid w:val="00D30124"/>
    <w:rsid w:val="00D305AB"/>
    <w:rsid w:val="00D30A39"/>
    <w:rsid w:val="00D30BCA"/>
    <w:rsid w:val="00D30F29"/>
    <w:rsid w:val="00D31200"/>
    <w:rsid w:val="00D3121E"/>
    <w:rsid w:val="00D3145F"/>
    <w:rsid w:val="00D31786"/>
    <w:rsid w:val="00D31830"/>
    <w:rsid w:val="00D31839"/>
    <w:rsid w:val="00D31B35"/>
    <w:rsid w:val="00D31BF0"/>
    <w:rsid w:val="00D32406"/>
    <w:rsid w:val="00D326E7"/>
    <w:rsid w:val="00D3294E"/>
    <w:rsid w:val="00D32EC5"/>
    <w:rsid w:val="00D32F24"/>
    <w:rsid w:val="00D33213"/>
    <w:rsid w:val="00D333B4"/>
    <w:rsid w:val="00D333E0"/>
    <w:rsid w:val="00D339AF"/>
    <w:rsid w:val="00D33C53"/>
    <w:rsid w:val="00D33D98"/>
    <w:rsid w:val="00D33DD4"/>
    <w:rsid w:val="00D34143"/>
    <w:rsid w:val="00D34526"/>
    <w:rsid w:val="00D3465B"/>
    <w:rsid w:val="00D3467F"/>
    <w:rsid w:val="00D34D63"/>
    <w:rsid w:val="00D35481"/>
    <w:rsid w:val="00D355AA"/>
    <w:rsid w:val="00D35713"/>
    <w:rsid w:val="00D35BD5"/>
    <w:rsid w:val="00D35E06"/>
    <w:rsid w:val="00D35FBA"/>
    <w:rsid w:val="00D365E9"/>
    <w:rsid w:val="00D36871"/>
    <w:rsid w:val="00D36E71"/>
    <w:rsid w:val="00D36E93"/>
    <w:rsid w:val="00D3722C"/>
    <w:rsid w:val="00D37512"/>
    <w:rsid w:val="00D37D87"/>
    <w:rsid w:val="00D406FB"/>
    <w:rsid w:val="00D40A9E"/>
    <w:rsid w:val="00D40B33"/>
    <w:rsid w:val="00D40E61"/>
    <w:rsid w:val="00D40FC8"/>
    <w:rsid w:val="00D41489"/>
    <w:rsid w:val="00D41EAE"/>
    <w:rsid w:val="00D42293"/>
    <w:rsid w:val="00D42549"/>
    <w:rsid w:val="00D4268C"/>
    <w:rsid w:val="00D42856"/>
    <w:rsid w:val="00D428A8"/>
    <w:rsid w:val="00D42A96"/>
    <w:rsid w:val="00D42CA1"/>
    <w:rsid w:val="00D42CCF"/>
    <w:rsid w:val="00D42D8C"/>
    <w:rsid w:val="00D42F08"/>
    <w:rsid w:val="00D42F30"/>
    <w:rsid w:val="00D4318F"/>
    <w:rsid w:val="00D438BF"/>
    <w:rsid w:val="00D43A4B"/>
    <w:rsid w:val="00D43A9C"/>
    <w:rsid w:val="00D43C28"/>
    <w:rsid w:val="00D440F8"/>
    <w:rsid w:val="00D442ED"/>
    <w:rsid w:val="00D44321"/>
    <w:rsid w:val="00D44E6A"/>
    <w:rsid w:val="00D44F31"/>
    <w:rsid w:val="00D45092"/>
    <w:rsid w:val="00D457C1"/>
    <w:rsid w:val="00D45D87"/>
    <w:rsid w:val="00D45EF4"/>
    <w:rsid w:val="00D45F8D"/>
    <w:rsid w:val="00D462EB"/>
    <w:rsid w:val="00D463FF"/>
    <w:rsid w:val="00D46737"/>
    <w:rsid w:val="00D46A6D"/>
    <w:rsid w:val="00D46B50"/>
    <w:rsid w:val="00D46FE8"/>
    <w:rsid w:val="00D4740A"/>
    <w:rsid w:val="00D475A1"/>
    <w:rsid w:val="00D47647"/>
    <w:rsid w:val="00D47675"/>
    <w:rsid w:val="00D477D6"/>
    <w:rsid w:val="00D47CF2"/>
    <w:rsid w:val="00D47F71"/>
    <w:rsid w:val="00D50ED5"/>
    <w:rsid w:val="00D511B1"/>
    <w:rsid w:val="00D51971"/>
    <w:rsid w:val="00D5271D"/>
    <w:rsid w:val="00D527D5"/>
    <w:rsid w:val="00D534DF"/>
    <w:rsid w:val="00D53B6C"/>
    <w:rsid w:val="00D53FED"/>
    <w:rsid w:val="00D54107"/>
    <w:rsid w:val="00D546FF"/>
    <w:rsid w:val="00D54894"/>
    <w:rsid w:val="00D54B67"/>
    <w:rsid w:val="00D54CE3"/>
    <w:rsid w:val="00D55AD5"/>
    <w:rsid w:val="00D55ADB"/>
    <w:rsid w:val="00D55BC8"/>
    <w:rsid w:val="00D55E99"/>
    <w:rsid w:val="00D56264"/>
    <w:rsid w:val="00D562FB"/>
    <w:rsid w:val="00D563D9"/>
    <w:rsid w:val="00D56406"/>
    <w:rsid w:val="00D5674B"/>
    <w:rsid w:val="00D5677E"/>
    <w:rsid w:val="00D56F7C"/>
    <w:rsid w:val="00D57104"/>
    <w:rsid w:val="00D572D8"/>
    <w:rsid w:val="00D5758A"/>
    <w:rsid w:val="00D576CA"/>
    <w:rsid w:val="00D577C5"/>
    <w:rsid w:val="00D57AEC"/>
    <w:rsid w:val="00D57D7E"/>
    <w:rsid w:val="00D57F6E"/>
    <w:rsid w:val="00D6010D"/>
    <w:rsid w:val="00D605BC"/>
    <w:rsid w:val="00D60B81"/>
    <w:rsid w:val="00D60FAC"/>
    <w:rsid w:val="00D61A72"/>
    <w:rsid w:val="00D61AF5"/>
    <w:rsid w:val="00D625BD"/>
    <w:rsid w:val="00D6286C"/>
    <w:rsid w:val="00D628B8"/>
    <w:rsid w:val="00D628DD"/>
    <w:rsid w:val="00D62D94"/>
    <w:rsid w:val="00D633DD"/>
    <w:rsid w:val="00D63809"/>
    <w:rsid w:val="00D6390E"/>
    <w:rsid w:val="00D63B7C"/>
    <w:rsid w:val="00D63BCD"/>
    <w:rsid w:val="00D63D07"/>
    <w:rsid w:val="00D63D11"/>
    <w:rsid w:val="00D63E29"/>
    <w:rsid w:val="00D650E7"/>
    <w:rsid w:val="00D652B5"/>
    <w:rsid w:val="00D653EC"/>
    <w:rsid w:val="00D6565A"/>
    <w:rsid w:val="00D65BC0"/>
    <w:rsid w:val="00D65FB9"/>
    <w:rsid w:val="00D66155"/>
    <w:rsid w:val="00D663A0"/>
    <w:rsid w:val="00D671FD"/>
    <w:rsid w:val="00D67D41"/>
    <w:rsid w:val="00D67DBB"/>
    <w:rsid w:val="00D67FC4"/>
    <w:rsid w:val="00D70157"/>
    <w:rsid w:val="00D703FB"/>
    <w:rsid w:val="00D7058B"/>
    <w:rsid w:val="00D70844"/>
    <w:rsid w:val="00D708B0"/>
    <w:rsid w:val="00D709FC"/>
    <w:rsid w:val="00D70E5D"/>
    <w:rsid w:val="00D7103C"/>
    <w:rsid w:val="00D716C1"/>
    <w:rsid w:val="00D71CF0"/>
    <w:rsid w:val="00D72397"/>
    <w:rsid w:val="00D72608"/>
    <w:rsid w:val="00D729EE"/>
    <w:rsid w:val="00D72A64"/>
    <w:rsid w:val="00D72C44"/>
    <w:rsid w:val="00D72ECD"/>
    <w:rsid w:val="00D734A7"/>
    <w:rsid w:val="00D7368E"/>
    <w:rsid w:val="00D73945"/>
    <w:rsid w:val="00D73E43"/>
    <w:rsid w:val="00D73E5C"/>
    <w:rsid w:val="00D741E2"/>
    <w:rsid w:val="00D7470D"/>
    <w:rsid w:val="00D74880"/>
    <w:rsid w:val="00D74C42"/>
    <w:rsid w:val="00D75492"/>
    <w:rsid w:val="00D75A1F"/>
    <w:rsid w:val="00D75A2C"/>
    <w:rsid w:val="00D7636D"/>
    <w:rsid w:val="00D76A2B"/>
    <w:rsid w:val="00D76BA0"/>
    <w:rsid w:val="00D771C6"/>
    <w:rsid w:val="00D7724C"/>
    <w:rsid w:val="00D7787E"/>
    <w:rsid w:val="00D77B1D"/>
    <w:rsid w:val="00D8021F"/>
    <w:rsid w:val="00D80383"/>
    <w:rsid w:val="00D80C19"/>
    <w:rsid w:val="00D823C6"/>
    <w:rsid w:val="00D82688"/>
    <w:rsid w:val="00D827AD"/>
    <w:rsid w:val="00D82BA8"/>
    <w:rsid w:val="00D82C4A"/>
    <w:rsid w:val="00D82F42"/>
    <w:rsid w:val="00D83143"/>
    <w:rsid w:val="00D8327F"/>
    <w:rsid w:val="00D83542"/>
    <w:rsid w:val="00D835A2"/>
    <w:rsid w:val="00D83936"/>
    <w:rsid w:val="00D8412F"/>
    <w:rsid w:val="00D84565"/>
    <w:rsid w:val="00D84794"/>
    <w:rsid w:val="00D84988"/>
    <w:rsid w:val="00D84B54"/>
    <w:rsid w:val="00D84BAD"/>
    <w:rsid w:val="00D85A0E"/>
    <w:rsid w:val="00D85A18"/>
    <w:rsid w:val="00D85F73"/>
    <w:rsid w:val="00D85FE5"/>
    <w:rsid w:val="00D86305"/>
    <w:rsid w:val="00D863AF"/>
    <w:rsid w:val="00D86821"/>
    <w:rsid w:val="00D86CA3"/>
    <w:rsid w:val="00D86FCD"/>
    <w:rsid w:val="00D871CE"/>
    <w:rsid w:val="00D87A57"/>
    <w:rsid w:val="00D87F7F"/>
    <w:rsid w:val="00D903D3"/>
    <w:rsid w:val="00D90501"/>
    <w:rsid w:val="00D905CA"/>
    <w:rsid w:val="00D90B6D"/>
    <w:rsid w:val="00D912EF"/>
    <w:rsid w:val="00D9196D"/>
    <w:rsid w:val="00D92252"/>
    <w:rsid w:val="00D92982"/>
    <w:rsid w:val="00D92A8A"/>
    <w:rsid w:val="00D92F01"/>
    <w:rsid w:val="00D931D3"/>
    <w:rsid w:val="00D93675"/>
    <w:rsid w:val="00D93F64"/>
    <w:rsid w:val="00D94191"/>
    <w:rsid w:val="00D947DF"/>
    <w:rsid w:val="00D94AA2"/>
    <w:rsid w:val="00D94CC5"/>
    <w:rsid w:val="00D94D06"/>
    <w:rsid w:val="00D95211"/>
    <w:rsid w:val="00D95826"/>
    <w:rsid w:val="00D95937"/>
    <w:rsid w:val="00D95DCA"/>
    <w:rsid w:val="00D961A7"/>
    <w:rsid w:val="00D96867"/>
    <w:rsid w:val="00D968F5"/>
    <w:rsid w:val="00D96D45"/>
    <w:rsid w:val="00D96D9B"/>
    <w:rsid w:val="00D9723A"/>
    <w:rsid w:val="00D9725A"/>
    <w:rsid w:val="00D97675"/>
    <w:rsid w:val="00DA019B"/>
    <w:rsid w:val="00DA0318"/>
    <w:rsid w:val="00DA03FC"/>
    <w:rsid w:val="00DA0544"/>
    <w:rsid w:val="00DA10A8"/>
    <w:rsid w:val="00DA13F8"/>
    <w:rsid w:val="00DA1B4D"/>
    <w:rsid w:val="00DA1B9E"/>
    <w:rsid w:val="00DA1E03"/>
    <w:rsid w:val="00DA2175"/>
    <w:rsid w:val="00DA228E"/>
    <w:rsid w:val="00DA2912"/>
    <w:rsid w:val="00DA2D95"/>
    <w:rsid w:val="00DA2E7B"/>
    <w:rsid w:val="00DA305E"/>
    <w:rsid w:val="00DA33AB"/>
    <w:rsid w:val="00DA37AB"/>
    <w:rsid w:val="00DA37D8"/>
    <w:rsid w:val="00DA3968"/>
    <w:rsid w:val="00DA39BC"/>
    <w:rsid w:val="00DA3F56"/>
    <w:rsid w:val="00DA3F9C"/>
    <w:rsid w:val="00DA4CAF"/>
    <w:rsid w:val="00DA50EB"/>
    <w:rsid w:val="00DA5417"/>
    <w:rsid w:val="00DA56E8"/>
    <w:rsid w:val="00DA58D1"/>
    <w:rsid w:val="00DA5C70"/>
    <w:rsid w:val="00DA639D"/>
    <w:rsid w:val="00DA6CA3"/>
    <w:rsid w:val="00DA7052"/>
    <w:rsid w:val="00DA71E3"/>
    <w:rsid w:val="00DA7959"/>
    <w:rsid w:val="00DA79E5"/>
    <w:rsid w:val="00DA7AA1"/>
    <w:rsid w:val="00DB0134"/>
    <w:rsid w:val="00DB0A9F"/>
    <w:rsid w:val="00DB0B7F"/>
    <w:rsid w:val="00DB0E13"/>
    <w:rsid w:val="00DB12A5"/>
    <w:rsid w:val="00DB1E9E"/>
    <w:rsid w:val="00DB1F67"/>
    <w:rsid w:val="00DB2138"/>
    <w:rsid w:val="00DB2184"/>
    <w:rsid w:val="00DB24C8"/>
    <w:rsid w:val="00DB281F"/>
    <w:rsid w:val="00DB323A"/>
    <w:rsid w:val="00DB356B"/>
    <w:rsid w:val="00DB377D"/>
    <w:rsid w:val="00DB4D52"/>
    <w:rsid w:val="00DB4F08"/>
    <w:rsid w:val="00DB5455"/>
    <w:rsid w:val="00DB55D4"/>
    <w:rsid w:val="00DB6364"/>
    <w:rsid w:val="00DB6681"/>
    <w:rsid w:val="00DB68F8"/>
    <w:rsid w:val="00DB6CE2"/>
    <w:rsid w:val="00DB6D2B"/>
    <w:rsid w:val="00DB74CB"/>
    <w:rsid w:val="00DB7AB9"/>
    <w:rsid w:val="00DB7BDC"/>
    <w:rsid w:val="00DC0101"/>
    <w:rsid w:val="00DC047A"/>
    <w:rsid w:val="00DC1019"/>
    <w:rsid w:val="00DC1137"/>
    <w:rsid w:val="00DC1173"/>
    <w:rsid w:val="00DC16A6"/>
    <w:rsid w:val="00DC1850"/>
    <w:rsid w:val="00DC1B45"/>
    <w:rsid w:val="00DC1EA8"/>
    <w:rsid w:val="00DC1FD9"/>
    <w:rsid w:val="00DC201D"/>
    <w:rsid w:val="00DC2099"/>
    <w:rsid w:val="00DC261E"/>
    <w:rsid w:val="00DC2D36"/>
    <w:rsid w:val="00DC2D5B"/>
    <w:rsid w:val="00DC36B6"/>
    <w:rsid w:val="00DC3F72"/>
    <w:rsid w:val="00DC4071"/>
    <w:rsid w:val="00DC4383"/>
    <w:rsid w:val="00DC481F"/>
    <w:rsid w:val="00DC4BC4"/>
    <w:rsid w:val="00DC53EF"/>
    <w:rsid w:val="00DC5588"/>
    <w:rsid w:val="00DC5C7E"/>
    <w:rsid w:val="00DC61DF"/>
    <w:rsid w:val="00DC6A64"/>
    <w:rsid w:val="00DC6FF2"/>
    <w:rsid w:val="00DC73CB"/>
    <w:rsid w:val="00DC759C"/>
    <w:rsid w:val="00DC785A"/>
    <w:rsid w:val="00DD011E"/>
    <w:rsid w:val="00DD0748"/>
    <w:rsid w:val="00DD08BB"/>
    <w:rsid w:val="00DD0AB8"/>
    <w:rsid w:val="00DD0BE2"/>
    <w:rsid w:val="00DD16CC"/>
    <w:rsid w:val="00DD211E"/>
    <w:rsid w:val="00DD21DC"/>
    <w:rsid w:val="00DD2265"/>
    <w:rsid w:val="00DD25D9"/>
    <w:rsid w:val="00DD2BFF"/>
    <w:rsid w:val="00DD3695"/>
    <w:rsid w:val="00DD38C2"/>
    <w:rsid w:val="00DD39C2"/>
    <w:rsid w:val="00DD39F0"/>
    <w:rsid w:val="00DD3BF9"/>
    <w:rsid w:val="00DD4398"/>
    <w:rsid w:val="00DD46B5"/>
    <w:rsid w:val="00DD4A36"/>
    <w:rsid w:val="00DD4E7C"/>
    <w:rsid w:val="00DD4FE9"/>
    <w:rsid w:val="00DD53CC"/>
    <w:rsid w:val="00DD5867"/>
    <w:rsid w:val="00DD5A64"/>
    <w:rsid w:val="00DD618F"/>
    <w:rsid w:val="00DD67BB"/>
    <w:rsid w:val="00DD7107"/>
    <w:rsid w:val="00DD768C"/>
    <w:rsid w:val="00DD7C03"/>
    <w:rsid w:val="00DD7D21"/>
    <w:rsid w:val="00DE015F"/>
    <w:rsid w:val="00DE0264"/>
    <w:rsid w:val="00DE0A13"/>
    <w:rsid w:val="00DE0C5F"/>
    <w:rsid w:val="00DE0E13"/>
    <w:rsid w:val="00DE1105"/>
    <w:rsid w:val="00DE15B0"/>
    <w:rsid w:val="00DE1A67"/>
    <w:rsid w:val="00DE1B4D"/>
    <w:rsid w:val="00DE20DE"/>
    <w:rsid w:val="00DE2893"/>
    <w:rsid w:val="00DE28B9"/>
    <w:rsid w:val="00DE2E11"/>
    <w:rsid w:val="00DE38E9"/>
    <w:rsid w:val="00DE40BC"/>
    <w:rsid w:val="00DE40C2"/>
    <w:rsid w:val="00DE424B"/>
    <w:rsid w:val="00DE5605"/>
    <w:rsid w:val="00DE5608"/>
    <w:rsid w:val="00DE58D0"/>
    <w:rsid w:val="00DE5BBC"/>
    <w:rsid w:val="00DE637C"/>
    <w:rsid w:val="00DE654F"/>
    <w:rsid w:val="00DE6916"/>
    <w:rsid w:val="00DE6ABB"/>
    <w:rsid w:val="00DF0028"/>
    <w:rsid w:val="00DF0207"/>
    <w:rsid w:val="00DF02A0"/>
    <w:rsid w:val="00DF031E"/>
    <w:rsid w:val="00DF082F"/>
    <w:rsid w:val="00DF0B5D"/>
    <w:rsid w:val="00DF0B6E"/>
    <w:rsid w:val="00DF0DCC"/>
    <w:rsid w:val="00DF15E0"/>
    <w:rsid w:val="00DF19B6"/>
    <w:rsid w:val="00DF1A65"/>
    <w:rsid w:val="00DF1B12"/>
    <w:rsid w:val="00DF20AD"/>
    <w:rsid w:val="00DF2E04"/>
    <w:rsid w:val="00DF37A0"/>
    <w:rsid w:val="00DF4090"/>
    <w:rsid w:val="00DF40AC"/>
    <w:rsid w:val="00DF50FC"/>
    <w:rsid w:val="00DF56B2"/>
    <w:rsid w:val="00DF592B"/>
    <w:rsid w:val="00DF5BC1"/>
    <w:rsid w:val="00DF6609"/>
    <w:rsid w:val="00DF672D"/>
    <w:rsid w:val="00DF69E1"/>
    <w:rsid w:val="00DF73C4"/>
    <w:rsid w:val="00DF7CC0"/>
    <w:rsid w:val="00DF7F4F"/>
    <w:rsid w:val="00DF7F73"/>
    <w:rsid w:val="00E00330"/>
    <w:rsid w:val="00E011A7"/>
    <w:rsid w:val="00E01587"/>
    <w:rsid w:val="00E017A7"/>
    <w:rsid w:val="00E01E40"/>
    <w:rsid w:val="00E01F44"/>
    <w:rsid w:val="00E02282"/>
    <w:rsid w:val="00E022CC"/>
    <w:rsid w:val="00E030A0"/>
    <w:rsid w:val="00E0327D"/>
    <w:rsid w:val="00E0468E"/>
    <w:rsid w:val="00E05095"/>
    <w:rsid w:val="00E05FCB"/>
    <w:rsid w:val="00E05FD9"/>
    <w:rsid w:val="00E06503"/>
    <w:rsid w:val="00E06847"/>
    <w:rsid w:val="00E06B51"/>
    <w:rsid w:val="00E06DB7"/>
    <w:rsid w:val="00E07354"/>
    <w:rsid w:val="00E10A64"/>
    <w:rsid w:val="00E110E7"/>
    <w:rsid w:val="00E116AB"/>
    <w:rsid w:val="00E11ABD"/>
    <w:rsid w:val="00E11B20"/>
    <w:rsid w:val="00E11BC4"/>
    <w:rsid w:val="00E1208B"/>
    <w:rsid w:val="00E129B6"/>
    <w:rsid w:val="00E12D0E"/>
    <w:rsid w:val="00E12D6C"/>
    <w:rsid w:val="00E12DC8"/>
    <w:rsid w:val="00E12FC1"/>
    <w:rsid w:val="00E1301C"/>
    <w:rsid w:val="00E137F8"/>
    <w:rsid w:val="00E13898"/>
    <w:rsid w:val="00E140DB"/>
    <w:rsid w:val="00E14A7B"/>
    <w:rsid w:val="00E14AD3"/>
    <w:rsid w:val="00E14EA2"/>
    <w:rsid w:val="00E155D2"/>
    <w:rsid w:val="00E15989"/>
    <w:rsid w:val="00E15A84"/>
    <w:rsid w:val="00E16484"/>
    <w:rsid w:val="00E164CA"/>
    <w:rsid w:val="00E168B8"/>
    <w:rsid w:val="00E16F1F"/>
    <w:rsid w:val="00E17678"/>
    <w:rsid w:val="00E176EE"/>
    <w:rsid w:val="00E17C8F"/>
    <w:rsid w:val="00E17FA2"/>
    <w:rsid w:val="00E20068"/>
    <w:rsid w:val="00E20465"/>
    <w:rsid w:val="00E20F31"/>
    <w:rsid w:val="00E21D49"/>
    <w:rsid w:val="00E21D70"/>
    <w:rsid w:val="00E22129"/>
    <w:rsid w:val="00E22297"/>
    <w:rsid w:val="00E22314"/>
    <w:rsid w:val="00E22330"/>
    <w:rsid w:val="00E224AC"/>
    <w:rsid w:val="00E22605"/>
    <w:rsid w:val="00E22DC8"/>
    <w:rsid w:val="00E2353A"/>
    <w:rsid w:val="00E242BE"/>
    <w:rsid w:val="00E24ABD"/>
    <w:rsid w:val="00E24B73"/>
    <w:rsid w:val="00E24E38"/>
    <w:rsid w:val="00E253CC"/>
    <w:rsid w:val="00E256A4"/>
    <w:rsid w:val="00E2686B"/>
    <w:rsid w:val="00E274E0"/>
    <w:rsid w:val="00E2754D"/>
    <w:rsid w:val="00E278D8"/>
    <w:rsid w:val="00E30207"/>
    <w:rsid w:val="00E30517"/>
    <w:rsid w:val="00E30564"/>
    <w:rsid w:val="00E307B9"/>
    <w:rsid w:val="00E30B5A"/>
    <w:rsid w:val="00E30D0E"/>
    <w:rsid w:val="00E30EF7"/>
    <w:rsid w:val="00E31099"/>
    <w:rsid w:val="00E3123D"/>
    <w:rsid w:val="00E31461"/>
    <w:rsid w:val="00E31536"/>
    <w:rsid w:val="00E31663"/>
    <w:rsid w:val="00E31D43"/>
    <w:rsid w:val="00E32239"/>
    <w:rsid w:val="00E32608"/>
    <w:rsid w:val="00E329A4"/>
    <w:rsid w:val="00E32B5A"/>
    <w:rsid w:val="00E32E78"/>
    <w:rsid w:val="00E330AB"/>
    <w:rsid w:val="00E33719"/>
    <w:rsid w:val="00E33929"/>
    <w:rsid w:val="00E33975"/>
    <w:rsid w:val="00E33A73"/>
    <w:rsid w:val="00E34188"/>
    <w:rsid w:val="00E34515"/>
    <w:rsid w:val="00E34A57"/>
    <w:rsid w:val="00E34B6E"/>
    <w:rsid w:val="00E35222"/>
    <w:rsid w:val="00E3529F"/>
    <w:rsid w:val="00E35559"/>
    <w:rsid w:val="00E357D6"/>
    <w:rsid w:val="00E35B59"/>
    <w:rsid w:val="00E35E2E"/>
    <w:rsid w:val="00E36499"/>
    <w:rsid w:val="00E365FD"/>
    <w:rsid w:val="00E3661C"/>
    <w:rsid w:val="00E3679E"/>
    <w:rsid w:val="00E3723A"/>
    <w:rsid w:val="00E372FA"/>
    <w:rsid w:val="00E37860"/>
    <w:rsid w:val="00E37BDA"/>
    <w:rsid w:val="00E40474"/>
    <w:rsid w:val="00E405CE"/>
    <w:rsid w:val="00E405D8"/>
    <w:rsid w:val="00E40DDA"/>
    <w:rsid w:val="00E40DE6"/>
    <w:rsid w:val="00E4132B"/>
    <w:rsid w:val="00E41A33"/>
    <w:rsid w:val="00E41A7C"/>
    <w:rsid w:val="00E41CD4"/>
    <w:rsid w:val="00E41F69"/>
    <w:rsid w:val="00E422B8"/>
    <w:rsid w:val="00E42315"/>
    <w:rsid w:val="00E4293A"/>
    <w:rsid w:val="00E4294F"/>
    <w:rsid w:val="00E42BF0"/>
    <w:rsid w:val="00E42E3C"/>
    <w:rsid w:val="00E4318D"/>
    <w:rsid w:val="00E43B37"/>
    <w:rsid w:val="00E43C68"/>
    <w:rsid w:val="00E44486"/>
    <w:rsid w:val="00E446F1"/>
    <w:rsid w:val="00E44871"/>
    <w:rsid w:val="00E44DDB"/>
    <w:rsid w:val="00E4520D"/>
    <w:rsid w:val="00E45346"/>
    <w:rsid w:val="00E45451"/>
    <w:rsid w:val="00E45D4A"/>
    <w:rsid w:val="00E45E9F"/>
    <w:rsid w:val="00E46362"/>
    <w:rsid w:val="00E46886"/>
    <w:rsid w:val="00E4689B"/>
    <w:rsid w:val="00E468C6"/>
    <w:rsid w:val="00E4691E"/>
    <w:rsid w:val="00E4728F"/>
    <w:rsid w:val="00E472C2"/>
    <w:rsid w:val="00E4780C"/>
    <w:rsid w:val="00E47AEF"/>
    <w:rsid w:val="00E47D40"/>
    <w:rsid w:val="00E50846"/>
    <w:rsid w:val="00E514F2"/>
    <w:rsid w:val="00E5236D"/>
    <w:rsid w:val="00E52C5A"/>
    <w:rsid w:val="00E5316E"/>
    <w:rsid w:val="00E53B75"/>
    <w:rsid w:val="00E53D13"/>
    <w:rsid w:val="00E53E10"/>
    <w:rsid w:val="00E54A10"/>
    <w:rsid w:val="00E54E3B"/>
    <w:rsid w:val="00E55B53"/>
    <w:rsid w:val="00E55C0A"/>
    <w:rsid w:val="00E55CF3"/>
    <w:rsid w:val="00E55E1B"/>
    <w:rsid w:val="00E55FC4"/>
    <w:rsid w:val="00E56C47"/>
    <w:rsid w:val="00E57565"/>
    <w:rsid w:val="00E57FB5"/>
    <w:rsid w:val="00E600EA"/>
    <w:rsid w:val="00E602BF"/>
    <w:rsid w:val="00E608E6"/>
    <w:rsid w:val="00E60CE6"/>
    <w:rsid w:val="00E60D85"/>
    <w:rsid w:val="00E619EF"/>
    <w:rsid w:val="00E623BB"/>
    <w:rsid w:val="00E62762"/>
    <w:rsid w:val="00E6281A"/>
    <w:rsid w:val="00E62E09"/>
    <w:rsid w:val="00E63673"/>
    <w:rsid w:val="00E63838"/>
    <w:rsid w:val="00E63A32"/>
    <w:rsid w:val="00E64434"/>
    <w:rsid w:val="00E64A81"/>
    <w:rsid w:val="00E64C1B"/>
    <w:rsid w:val="00E656BC"/>
    <w:rsid w:val="00E656D9"/>
    <w:rsid w:val="00E65CB7"/>
    <w:rsid w:val="00E65E9A"/>
    <w:rsid w:val="00E66171"/>
    <w:rsid w:val="00E662E1"/>
    <w:rsid w:val="00E6675E"/>
    <w:rsid w:val="00E66C03"/>
    <w:rsid w:val="00E6758D"/>
    <w:rsid w:val="00E67C51"/>
    <w:rsid w:val="00E70053"/>
    <w:rsid w:val="00E70BEC"/>
    <w:rsid w:val="00E710BE"/>
    <w:rsid w:val="00E71422"/>
    <w:rsid w:val="00E71CF2"/>
    <w:rsid w:val="00E7231B"/>
    <w:rsid w:val="00E72554"/>
    <w:rsid w:val="00E729A5"/>
    <w:rsid w:val="00E72B6A"/>
    <w:rsid w:val="00E72EFC"/>
    <w:rsid w:val="00E72FCF"/>
    <w:rsid w:val="00E7338B"/>
    <w:rsid w:val="00E736D8"/>
    <w:rsid w:val="00E74669"/>
    <w:rsid w:val="00E74BC0"/>
    <w:rsid w:val="00E751ED"/>
    <w:rsid w:val="00E7573C"/>
    <w:rsid w:val="00E758EC"/>
    <w:rsid w:val="00E759EF"/>
    <w:rsid w:val="00E75D4C"/>
    <w:rsid w:val="00E764FA"/>
    <w:rsid w:val="00E7672F"/>
    <w:rsid w:val="00E76A99"/>
    <w:rsid w:val="00E76E83"/>
    <w:rsid w:val="00E770AC"/>
    <w:rsid w:val="00E77735"/>
    <w:rsid w:val="00E80182"/>
    <w:rsid w:val="00E80492"/>
    <w:rsid w:val="00E80E1E"/>
    <w:rsid w:val="00E814DD"/>
    <w:rsid w:val="00E81E46"/>
    <w:rsid w:val="00E82146"/>
    <w:rsid w:val="00E821C1"/>
    <w:rsid w:val="00E8234C"/>
    <w:rsid w:val="00E82584"/>
    <w:rsid w:val="00E832C8"/>
    <w:rsid w:val="00E832D1"/>
    <w:rsid w:val="00E83302"/>
    <w:rsid w:val="00E83334"/>
    <w:rsid w:val="00E83824"/>
    <w:rsid w:val="00E83956"/>
    <w:rsid w:val="00E83AA9"/>
    <w:rsid w:val="00E83BF8"/>
    <w:rsid w:val="00E8550A"/>
    <w:rsid w:val="00E85928"/>
    <w:rsid w:val="00E8648A"/>
    <w:rsid w:val="00E866F5"/>
    <w:rsid w:val="00E8699A"/>
    <w:rsid w:val="00E86BEF"/>
    <w:rsid w:val="00E86DFB"/>
    <w:rsid w:val="00E86E4D"/>
    <w:rsid w:val="00E87072"/>
    <w:rsid w:val="00E876B1"/>
    <w:rsid w:val="00E87822"/>
    <w:rsid w:val="00E87A23"/>
    <w:rsid w:val="00E87B11"/>
    <w:rsid w:val="00E90395"/>
    <w:rsid w:val="00E90572"/>
    <w:rsid w:val="00E90AB0"/>
    <w:rsid w:val="00E90D81"/>
    <w:rsid w:val="00E90DE3"/>
    <w:rsid w:val="00E90E49"/>
    <w:rsid w:val="00E916C2"/>
    <w:rsid w:val="00E917F9"/>
    <w:rsid w:val="00E91A8A"/>
    <w:rsid w:val="00E91C90"/>
    <w:rsid w:val="00E92609"/>
    <w:rsid w:val="00E92831"/>
    <w:rsid w:val="00E9291C"/>
    <w:rsid w:val="00E92B46"/>
    <w:rsid w:val="00E93640"/>
    <w:rsid w:val="00E93FFE"/>
    <w:rsid w:val="00E945DE"/>
    <w:rsid w:val="00E9473B"/>
    <w:rsid w:val="00E94AA1"/>
    <w:rsid w:val="00E94DD0"/>
    <w:rsid w:val="00E94F8A"/>
    <w:rsid w:val="00E953E8"/>
    <w:rsid w:val="00E9564B"/>
    <w:rsid w:val="00E96434"/>
    <w:rsid w:val="00E96AC7"/>
    <w:rsid w:val="00E96AF0"/>
    <w:rsid w:val="00E96B18"/>
    <w:rsid w:val="00E96CF7"/>
    <w:rsid w:val="00E971D4"/>
    <w:rsid w:val="00EA010B"/>
    <w:rsid w:val="00EA048E"/>
    <w:rsid w:val="00EA05F1"/>
    <w:rsid w:val="00EA09AE"/>
    <w:rsid w:val="00EA0EA1"/>
    <w:rsid w:val="00EA16CE"/>
    <w:rsid w:val="00EA1DCD"/>
    <w:rsid w:val="00EA1FE2"/>
    <w:rsid w:val="00EA2386"/>
    <w:rsid w:val="00EA23B8"/>
    <w:rsid w:val="00EA2406"/>
    <w:rsid w:val="00EA3522"/>
    <w:rsid w:val="00EA35BA"/>
    <w:rsid w:val="00EA375A"/>
    <w:rsid w:val="00EA466D"/>
    <w:rsid w:val="00EA4FB2"/>
    <w:rsid w:val="00EA51CC"/>
    <w:rsid w:val="00EA5611"/>
    <w:rsid w:val="00EA5A87"/>
    <w:rsid w:val="00EA605D"/>
    <w:rsid w:val="00EA7050"/>
    <w:rsid w:val="00EA715E"/>
    <w:rsid w:val="00EA719E"/>
    <w:rsid w:val="00EA72D6"/>
    <w:rsid w:val="00EA7A41"/>
    <w:rsid w:val="00EA7C66"/>
    <w:rsid w:val="00EB0171"/>
    <w:rsid w:val="00EB0380"/>
    <w:rsid w:val="00EB077B"/>
    <w:rsid w:val="00EB0B44"/>
    <w:rsid w:val="00EB12DF"/>
    <w:rsid w:val="00EB1DC1"/>
    <w:rsid w:val="00EB20A7"/>
    <w:rsid w:val="00EB2537"/>
    <w:rsid w:val="00EB29C3"/>
    <w:rsid w:val="00EB2A8B"/>
    <w:rsid w:val="00EB2DCE"/>
    <w:rsid w:val="00EB31D6"/>
    <w:rsid w:val="00EB344D"/>
    <w:rsid w:val="00EB3C89"/>
    <w:rsid w:val="00EB3CF3"/>
    <w:rsid w:val="00EB3F4D"/>
    <w:rsid w:val="00EB4100"/>
    <w:rsid w:val="00EB4B4B"/>
    <w:rsid w:val="00EB4EA2"/>
    <w:rsid w:val="00EB4F9E"/>
    <w:rsid w:val="00EB558F"/>
    <w:rsid w:val="00EB5751"/>
    <w:rsid w:val="00EB5CD8"/>
    <w:rsid w:val="00EB709D"/>
    <w:rsid w:val="00EB7255"/>
    <w:rsid w:val="00EB7B28"/>
    <w:rsid w:val="00EB7D6B"/>
    <w:rsid w:val="00EC0280"/>
    <w:rsid w:val="00EC034A"/>
    <w:rsid w:val="00EC039F"/>
    <w:rsid w:val="00EC08C2"/>
    <w:rsid w:val="00EC12D3"/>
    <w:rsid w:val="00EC16D8"/>
    <w:rsid w:val="00EC19F9"/>
    <w:rsid w:val="00EC1D88"/>
    <w:rsid w:val="00EC1F01"/>
    <w:rsid w:val="00EC1F40"/>
    <w:rsid w:val="00EC24D5"/>
    <w:rsid w:val="00EC27C6"/>
    <w:rsid w:val="00EC2A94"/>
    <w:rsid w:val="00EC2AC8"/>
    <w:rsid w:val="00EC2FD0"/>
    <w:rsid w:val="00EC40D7"/>
    <w:rsid w:val="00EC4207"/>
    <w:rsid w:val="00EC490F"/>
    <w:rsid w:val="00EC500E"/>
    <w:rsid w:val="00EC5035"/>
    <w:rsid w:val="00EC5653"/>
    <w:rsid w:val="00EC56D0"/>
    <w:rsid w:val="00EC5F72"/>
    <w:rsid w:val="00EC604C"/>
    <w:rsid w:val="00EC676D"/>
    <w:rsid w:val="00EC68AC"/>
    <w:rsid w:val="00EC68C6"/>
    <w:rsid w:val="00EC6C46"/>
    <w:rsid w:val="00EC71CE"/>
    <w:rsid w:val="00EC7605"/>
    <w:rsid w:val="00EC7B3D"/>
    <w:rsid w:val="00ED0718"/>
    <w:rsid w:val="00ED0ADD"/>
    <w:rsid w:val="00ED0C6A"/>
    <w:rsid w:val="00ED0F4C"/>
    <w:rsid w:val="00ED1006"/>
    <w:rsid w:val="00ED13DD"/>
    <w:rsid w:val="00ED1A74"/>
    <w:rsid w:val="00ED1E63"/>
    <w:rsid w:val="00ED2389"/>
    <w:rsid w:val="00ED3762"/>
    <w:rsid w:val="00ED39E4"/>
    <w:rsid w:val="00ED3D9A"/>
    <w:rsid w:val="00ED4B8E"/>
    <w:rsid w:val="00ED4EDB"/>
    <w:rsid w:val="00ED4FBB"/>
    <w:rsid w:val="00ED55D3"/>
    <w:rsid w:val="00ED6327"/>
    <w:rsid w:val="00ED68E3"/>
    <w:rsid w:val="00ED6A3C"/>
    <w:rsid w:val="00ED7222"/>
    <w:rsid w:val="00ED7A61"/>
    <w:rsid w:val="00ED7B08"/>
    <w:rsid w:val="00EE0213"/>
    <w:rsid w:val="00EE05EE"/>
    <w:rsid w:val="00EE075C"/>
    <w:rsid w:val="00EE0D8C"/>
    <w:rsid w:val="00EE10D1"/>
    <w:rsid w:val="00EE190A"/>
    <w:rsid w:val="00EE263E"/>
    <w:rsid w:val="00EE2A0A"/>
    <w:rsid w:val="00EE35E9"/>
    <w:rsid w:val="00EE3F8F"/>
    <w:rsid w:val="00EE41F1"/>
    <w:rsid w:val="00EE4308"/>
    <w:rsid w:val="00EE4397"/>
    <w:rsid w:val="00EE4944"/>
    <w:rsid w:val="00EE4A96"/>
    <w:rsid w:val="00EE50DE"/>
    <w:rsid w:val="00EE6182"/>
    <w:rsid w:val="00EE6364"/>
    <w:rsid w:val="00EE63AC"/>
    <w:rsid w:val="00EE66A5"/>
    <w:rsid w:val="00EE6A70"/>
    <w:rsid w:val="00EE7492"/>
    <w:rsid w:val="00EE7FD1"/>
    <w:rsid w:val="00EF04FA"/>
    <w:rsid w:val="00EF17AD"/>
    <w:rsid w:val="00EF18FE"/>
    <w:rsid w:val="00EF1D8F"/>
    <w:rsid w:val="00EF277B"/>
    <w:rsid w:val="00EF27EE"/>
    <w:rsid w:val="00EF3128"/>
    <w:rsid w:val="00EF3610"/>
    <w:rsid w:val="00EF3CBC"/>
    <w:rsid w:val="00EF4D76"/>
    <w:rsid w:val="00EF516C"/>
    <w:rsid w:val="00EF5787"/>
    <w:rsid w:val="00EF59BC"/>
    <w:rsid w:val="00EF60D0"/>
    <w:rsid w:val="00EF634E"/>
    <w:rsid w:val="00EF70C3"/>
    <w:rsid w:val="00EF71DA"/>
    <w:rsid w:val="00EF7C7B"/>
    <w:rsid w:val="00EF7CBB"/>
    <w:rsid w:val="00EF7E5B"/>
    <w:rsid w:val="00EF7F51"/>
    <w:rsid w:val="00F0078A"/>
    <w:rsid w:val="00F00D43"/>
    <w:rsid w:val="00F02B40"/>
    <w:rsid w:val="00F02BA8"/>
    <w:rsid w:val="00F03890"/>
    <w:rsid w:val="00F051AC"/>
    <w:rsid w:val="00F0528D"/>
    <w:rsid w:val="00F052B8"/>
    <w:rsid w:val="00F052DF"/>
    <w:rsid w:val="00F0548B"/>
    <w:rsid w:val="00F055CD"/>
    <w:rsid w:val="00F05E6D"/>
    <w:rsid w:val="00F05F21"/>
    <w:rsid w:val="00F0604E"/>
    <w:rsid w:val="00F060DE"/>
    <w:rsid w:val="00F06C67"/>
    <w:rsid w:val="00F06DFD"/>
    <w:rsid w:val="00F06F86"/>
    <w:rsid w:val="00F071D1"/>
    <w:rsid w:val="00F072E6"/>
    <w:rsid w:val="00F07533"/>
    <w:rsid w:val="00F07AAD"/>
    <w:rsid w:val="00F1025E"/>
    <w:rsid w:val="00F10629"/>
    <w:rsid w:val="00F10B5F"/>
    <w:rsid w:val="00F1112D"/>
    <w:rsid w:val="00F12357"/>
    <w:rsid w:val="00F12411"/>
    <w:rsid w:val="00F13B2C"/>
    <w:rsid w:val="00F13E4D"/>
    <w:rsid w:val="00F13E9D"/>
    <w:rsid w:val="00F14397"/>
    <w:rsid w:val="00F15249"/>
    <w:rsid w:val="00F15429"/>
    <w:rsid w:val="00F155D0"/>
    <w:rsid w:val="00F15628"/>
    <w:rsid w:val="00F15B58"/>
    <w:rsid w:val="00F15C76"/>
    <w:rsid w:val="00F15D97"/>
    <w:rsid w:val="00F15FA5"/>
    <w:rsid w:val="00F16131"/>
    <w:rsid w:val="00F16569"/>
    <w:rsid w:val="00F167FC"/>
    <w:rsid w:val="00F16CAE"/>
    <w:rsid w:val="00F1726C"/>
    <w:rsid w:val="00F17533"/>
    <w:rsid w:val="00F17693"/>
    <w:rsid w:val="00F17A11"/>
    <w:rsid w:val="00F17AEB"/>
    <w:rsid w:val="00F17B18"/>
    <w:rsid w:val="00F17B8A"/>
    <w:rsid w:val="00F17E99"/>
    <w:rsid w:val="00F204B9"/>
    <w:rsid w:val="00F209B7"/>
    <w:rsid w:val="00F21FE6"/>
    <w:rsid w:val="00F22097"/>
    <w:rsid w:val="00F22C1F"/>
    <w:rsid w:val="00F22C51"/>
    <w:rsid w:val="00F22F36"/>
    <w:rsid w:val="00F235D0"/>
    <w:rsid w:val="00F2376F"/>
    <w:rsid w:val="00F2398D"/>
    <w:rsid w:val="00F24324"/>
    <w:rsid w:val="00F243D8"/>
    <w:rsid w:val="00F24681"/>
    <w:rsid w:val="00F2471D"/>
    <w:rsid w:val="00F24858"/>
    <w:rsid w:val="00F256DD"/>
    <w:rsid w:val="00F258EB"/>
    <w:rsid w:val="00F2630B"/>
    <w:rsid w:val="00F2675F"/>
    <w:rsid w:val="00F2699E"/>
    <w:rsid w:val="00F26AD2"/>
    <w:rsid w:val="00F273F7"/>
    <w:rsid w:val="00F274C5"/>
    <w:rsid w:val="00F27DB2"/>
    <w:rsid w:val="00F30200"/>
    <w:rsid w:val="00F30405"/>
    <w:rsid w:val="00F3069C"/>
    <w:rsid w:val="00F30828"/>
    <w:rsid w:val="00F309D7"/>
    <w:rsid w:val="00F30A29"/>
    <w:rsid w:val="00F30DE9"/>
    <w:rsid w:val="00F310BA"/>
    <w:rsid w:val="00F311FA"/>
    <w:rsid w:val="00F31258"/>
    <w:rsid w:val="00F313D6"/>
    <w:rsid w:val="00F31713"/>
    <w:rsid w:val="00F317B6"/>
    <w:rsid w:val="00F31CC0"/>
    <w:rsid w:val="00F320D3"/>
    <w:rsid w:val="00F3213D"/>
    <w:rsid w:val="00F32EC2"/>
    <w:rsid w:val="00F32F64"/>
    <w:rsid w:val="00F335DF"/>
    <w:rsid w:val="00F337AB"/>
    <w:rsid w:val="00F34444"/>
    <w:rsid w:val="00F34628"/>
    <w:rsid w:val="00F34870"/>
    <w:rsid w:val="00F34C2B"/>
    <w:rsid w:val="00F34F5A"/>
    <w:rsid w:val="00F357A4"/>
    <w:rsid w:val="00F357D9"/>
    <w:rsid w:val="00F35A6C"/>
    <w:rsid w:val="00F35B86"/>
    <w:rsid w:val="00F35FC2"/>
    <w:rsid w:val="00F36A9E"/>
    <w:rsid w:val="00F36E78"/>
    <w:rsid w:val="00F401A5"/>
    <w:rsid w:val="00F40F0C"/>
    <w:rsid w:val="00F411DE"/>
    <w:rsid w:val="00F416CA"/>
    <w:rsid w:val="00F418C1"/>
    <w:rsid w:val="00F4250C"/>
    <w:rsid w:val="00F42698"/>
    <w:rsid w:val="00F43025"/>
    <w:rsid w:val="00F43098"/>
    <w:rsid w:val="00F43765"/>
    <w:rsid w:val="00F43DC0"/>
    <w:rsid w:val="00F43DD5"/>
    <w:rsid w:val="00F44378"/>
    <w:rsid w:val="00F44E2B"/>
    <w:rsid w:val="00F4504E"/>
    <w:rsid w:val="00F45306"/>
    <w:rsid w:val="00F45664"/>
    <w:rsid w:val="00F457C5"/>
    <w:rsid w:val="00F45C99"/>
    <w:rsid w:val="00F45E6F"/>
    <w:rsid w:val="00F45F02"/>
    <w:rsid w:val="00F45FED"/>
    <w:rsid w:val="00F46E25"/>
    <w:rsid w:val="00F471B4"/>
    <w:rsid w:val="00F471C5"/>
    <w:rsid w:val="00F47366"/>
    <w:rsid w:val="00F473CB"/>
    <w:rsid w:val="00F4766C"/>
    <w:rsid w:val="00F47A42"/>
    <w:rsid w:val="00F5060E"/>
    <w:rsid w:val="00F507D1"/>
    <w:rsid w:val="00F50C28"/>
    <w:rsid w:val="00F50E78"/>
    <w:rsid w:val="00F50EB3"/>
    <w:rsid w:val="00F51347"/>
    <w:rsid w:val="00F519CE"/>
    <w:rsid w:val="00F51ADA"/>
    <w:rsid w:val="00F51B81"/>
    <w:rsid w:val="00F51DF8"/>
    <w:rsid w:val="00F5208F"/>
    <w:rsid w:val="00F52EDD"/>
    <w:rsid w:val="00F52F88"/>
    <w:rsid w:val="00F52FCA"/>
    <w:rsid w:val="00F5321D"/>
    <w:rsid w:val="00F539B5"/>
    <w:rsid w:val="00F53EEE"/>
    <w:rsid w:val="00F54355"/>
    <w:rsid w:val="00F543CE"/>
    <w:rsid w:val="00F54D46"/>
    <w:rsid w:val="00F551BC"/>
    <w:rsid w:val="00F55CF6"/>
    <w:rsid w:val="00F56E27"/>
    <w:rsid w:val="00F57463"/>
    <w:rsid w:val="00F575AD"/>
    <w:rsid w:val="00F57B70"/>
    <w:rsid w:val="00F57C77"/>
    <w:rsid w:val="00F60203"/>
    <w:rsid w:val="00F6054E"/>
    <w:rsid w:val="00F606D9"/>
    <w:rsid w:val="00F606FF"/>
    <w:rsid w:val="00F607C5"/>
    <w:rsid w:val="00F60DEA"/>
    <w:rsid w:val="00F61206"/>
    <w:rsid w:val="00F613C6"/>
    <w:rsid w:val="00F617C4"/>
    <w:rsid w:val="00F61805"/>
    <w:rsid w:val="00F61BC9"/>
    <w:rsid w:val="00F61FAA"/>
    <w:rsid w:val="00F62547"/>
    <w:rsid w:val="00F625EB"/>
    <w:rsid w:val="00F62626"/>
    <w:rsid w:val="00F626AC"/>
    <w:rsid w:val="00F6302A"/>
    <w:rsid w:val="00F634C3"/>
    <w:rsid w:val="00F6380D"/>
    <w:rsid w:val="00F63816"/>
    <w:rsid w:val="00F63950"/>
    <w:rsid w:val="00F6436D"/>
    <w:rsid w:val="00F646FE"/>
    <w:rsid w:val="00F64851"/>
    <w:rsid w:val="00F64C2B"/>
    <w:rsid w:val="00F64DBC"/>
    <w:rsid w:val="00F651BE"/>
    <w:rsid w:val="00F65A6B"/>
    <w:rsid w:val="00F65A8A"/>
    <w:rsid w:val="00F65B16"/>
    <w:rsid w:val="00F65B1B"/>
    <w:rsid w:val="00F667B5"/>
    <w:rsid w:val="00F66869"/>
    <w:rsid w:val="00F6693A"/>
    <w:rsid w:val="00F669B2"/>
    <w:rsid w:val="00F6716D"/>
    <w:rsid w:val="00F67492"/>
    <w:rsid w:val="00F67832"/>
    <w:rsid w:val="00F67C77"/>
    <w:rsid w:val="00F67F53"/>
    <w:rsid w:val="00F703BE"/>
    <w:rsid w:val="00F711DE"/>
    <w:rsid w:val="00F71296"/>
    <w:rsid w:val="00F715B2"/>
    <w:rsid w:val="00F7161A"/>
    <w:rsid w:val="00F71AF6"/>
    <w:rsid w:val="00F71F69"/>
    <w:rsid w:val="00F71FB3"/>
    <w:rsid w:val="00F72974"/>
    <w:rsid w:val="00F72A57"/>
    <w:rsid w:val="00F72B72"/>
    <w:rsid w:val="00F732F1"/>
    <w:rsid w:val="00F73B56"/>
    <w:rsid w:val="00F73EB8"/>
    <w:rsid w:val="00F73EF7"/>
    <w:rsid w:val="00F7463B"/>
    <w:rsid w:val="00F74BB9"/>
    <w:rsid w:val="00F74C96"/>
    <w:rsid w:val="00F74F08"/>
    <w:rsid w:val="00F75582"/>
    <w:rsid w:val="00F7595C"/>
    <w:rsid w:val="00F75E29"/>
    <w:rsid w:val="00F763B3"/>
    <w:rsid w:val="00F7699C"/>
    <w:rsid w:val="00F76D60"/>
    <w:rsid w:val="00F76E28"/>
    <w:rsid w:val="00F76EFA"/>
    <w:rsid w:val="00F77097"/>
    <w:rsid w:val="00F770C8"/>
    <w:rsid w:val="00F77435"/>
    <w:rsid w:val="00F77617"/>
    <w:rsid w:val="00F77823"/>
    <w:rsid w:val="00F802BF"/>
    <w:rsid w:val="00F803DB"/>
    <w:rsid w:val="00F804BE"/>
    <w:rsid w:val="00F80CE8"/>
    <w:rsid w:val="00F80F8E"/>
    <w:rsid w:val="00F81101"/>
    <w:rsid w:val="00F8148F"/>
    <w:rsid w:val="00F817CE"/>
    <w:rsid w:val="00F81BFB"/>
    <w:rsid w:val="00F82099"/>
    <w:rsid w:val="00F82155"/>
    <w:rsid w:val="00F827B8"/>
    <w:rsid w:val="00F8289B"/>
    <w:rsid w:val="00F82AB9"/>
    <w:rsid w:val="00F82C25"/>
    <w:rsid w:val="00F839ED"/>
    <w:rsid w:val="00F83FCB"/>
    <w:rsid w:val="00F840F0"/>
    <w:rsid w:val="00F8415A"/>
    <w:rsid w:val="00F841F4"/>
    <w:rsid w:val="00F8456C"/>
    <w:rsid w:val="00F85025"/>
    <w:rsid w:val="00F850AF"/>
    <w:rsid w:val="00F858FA"/>
    <w:rsid w:val="00F859D8"/>
    <w:rsid w:val="00F85A60"/>
    <w:rsid w:val="00F85DC8"/>
    <w:rsid w:val="00F85E08"/>
    <w:rsid w:val="00F864BE"/>
    <w:rsid w:val="00F8665D"/>
    <w:rsid w:val="00F868F2"/>
    <w:rsid w:val="00F868F5"/>
    <w:rsid w:val="00F86EB9"/>
    <w:rsid w:val="00F86F42"/>
    <w:rsid w:val="00F86F7E"/>
    <w:rsid w:val="00F8726E"/>
    <w:rsid w:val="00F872CE"/>
    <w:rsid w:val="00F87345"/>
    <w:rsid w:val="00F873CD"/>
    <w:rsid w:val="00F87E27"/>
    <w:rsid w:val="00F90104"/>
    <w:rsid w:val="00F90517"/>
    <w:rsid w:val="00F9051B"/>
    <w:rsid w:val="00F9056A"/>
    <w:rsid w:val="00F90678"/>
    <w:rsid w:val="00F9089D"/>
    <w:rsid w:val="00F90EC5"/>
    <w:rsid w:val="00F90F8D"/>
    <w:rsid w:val="00F9149D"/>
    <w:rsid w:val="00F9158C"/>
    <w:rsid w:val="00F9190C"/>
    <w:rsid w:val="00F922A9"/>
    <w:rsid w:val="00F92368"/>
    <w:rsid w:val="00F925CF"/>
    <w:rsid w:val="00F92782"/>
    <w:rsid w:val="00F92A06"/>
    <w:rsid w:val="00F933BD"/>
    <w:rsid w:val="00F93713"/>
    <w:rsid w:val="00F9388F"/>
    <w:rsid w:val="00F93920"/>
    <w:rsid w:val="00F93AA9"/>
    <w:rsid w:val="00F945D6"/>
    <w:rsid w:val="00F94A0B"/>
    <w:rsid w:val="00F94C53"/>
    <w:rsid w:val="00F94C6A"/>
    <w:rsid w:val="00F94CC0"/>
    <w:rsid w:val="00F951E0"/>
    <w:rsid w:val="00F954C1"/>
    <w:rsid w:val="00F95804"/>
    <w:rsid w:val="00F95A29"/>
    <w:rsid w:val="00F96985"/>
    <w:rsid w:val="00F969E0"/>
    <w:rsid w:val="00F96A02"/>
    <w:rsid w:val="00F96F81"/>
    <w:rsid w:val="00F97385"/>
    <w:rsid w:val="00F97838"/>
    <w:rsid w:val="00F97B5A"/>
    <w:rsid w:val="00F97B8F"/>
    <w:rsid w:val="00F97F9C"/>
    <w:rsid w:val="00FA01B7"/>
    <w:rsid w:val="00FA0C9F"/>
    <w:rsid w:val="00FA0ECD"/>
    <w:rsid w:val="00FA0EED"/>
    <w:rsid w:val="00FA1382"/>
    <w:rsid w:val="00FA1749"/>
    <w:rsid w:val="00FA1CCC"/>
    <w:rsid w:val="00FA209C"/>
    <w:rsid w:val="00FA215F"/>
    <w:rsid w:val="00FA22C6"/>
    <w:rsid w:val="00FA290C"/>
    <w:rsid w:val="00FA2BB3"/>
    <w:rsid w:val="00FA30CD"/>
    <w:rsid w:val="00FA331B"/>
    <w:rsid w:val="00FA37CF"/>
    <w:rsid w:val="00FA3C73"/>
    <w:rsid w:val="00FA4464"/>
    <w:rsid w:val="00FA448C"/>
    <w:rsid w:val="00FA5197"/>
    <w:rsid w:val="00FA52F3"/>
    <w:rsid w:val="00FA5585"/>
    <w:rsid w:val="00FA639B"/>
    <w:rsid w:val="00FA680E"/>
    <w:rsid w:val="00FA6C8F"/>
    <w:rsid w:val="00FA7DA3"/>
    <w:rsid w:val="00FB0420"/>
    <w:rsid w:val="00FB05C7"/>
    <w:rsid w:val="00FB06B4"/>
    <w:rsid w:val="00FB08DA"/>
    <w:rsid w:val="00FB0CB5"/>
    <w:rsid w:val="00FB0E2E"/>
    <w:rsid w:val="00FB1744"/>
    <w:rsid w:val="00FB1E27"/>
    <w:rsid w:val="00FB272F"/>
    <w:rsid w:val="00FB2B40"/>
    <w:rsid w:val="00FB2BF2"/>
    <w:rsid w:val="00FB2CAE"/>
    <w:rsid w:val="00FB30E6"/>
    <w:rsid w:val="00FB3308"/>
    <w:rsid w:val="00FB35E9"/>
    <w:rsid w:val="00FB39B4"/>
    <w:rsid w:val="00FB3F97"/>
    <w:rsid w:val="00FB407A"/>
    <w:rsid w:val="00FB4452"/>
    <w:rsid w:val="00FB467F"/>
    <w:rsid w:val="00FB4C80"/>
    <w:rsid w:val="00FB4CEA"/>
    <w:rsid w:val="00FB537B"/>
    <w:rsid w:val="00FB572F"/>
    <w:rsid w:val="00FB59F3"/>
    <w:rsid w:val="00FB5FC3"/>
    <w:rsid w:val="00FB6940"/>
    <w:rsid w:val="00FB6A6A"/>
    <w:rsid w:val="00FB6B50"/>
    <w:rsid w:val="00FB6C7F"/>
    <w:rsid w:val="00FB6D86"/>
    <w:rsid w:val="00FB72EE"/>
    <w:rsid w:val="00FB73BC"/>
    <w:rsid w:val="00FB7458"/>
    <w:rsid w:val="00FB7A15"/>
    <w:rsid w:val="00FC0175"/>
    <w:rsid w:val="00FC0337"/>
    <w:rsid w:val="00FC09A9"/>
    <w:rsid w:val="00FC1052"/>
    <w:rsid w:val="00FC1159"/>
    <w:rsid w:val="00FC1358"/>
    <w:rsid w:val="00FC1681"/>
    <w:rsid w:val="00FC16E2"/>
    <w:rsid w:val="00FC173B"/>
    <w:rsid w:val="00FC19F2"/>
    <w:rsid w:val="00FC315C"/>
    <w:rsid w:val="00FC339F"/>
    <w:rsid w:val="00FC3413"/>
    <w:rsid w:val="00FC3664"/>
    <w:rsid w:val="00FC3D4B"/>
    <w:rsid w:val="00FC3E01"/>
    <w:rsid w:val="00FC3EC3"/>
    <w:rsid w:val="00FC456A"/>
    <w:rsid w:val="00FC46DD"/>
    <w:rsid w:val="00FC4DBC"/>
    <w:rsid w:val="00FC5727"/>
    <w:rsid w:val="00FC5814"/>
    <w:rsid w:val="00FC62E5"/>
    <w:rsid w:val="00FC67B0"/>
    <w:rsid w:val="00FC7429"/>
    <w:rsid w:val="00FC7466"/>
    <w:rsid w:val="00FD00D2"/>
    <w:rsid w:val="00FD0164"/>
    <w:rsid w:val="00FD0472"/>
    <w:rsid w:val="00FD07F6"/>
    <w:rsid w:val="00FD0B25"/>
    <w:rsid w:val="00FD0C12"/>
    <w:rsid w:val="00FD0F77"/>
    <w:rsid w:val="00FD1003"/>
    <w:rsid w:val="00FD1597"/>
    <w:rsid w:val="00FD1EC8"/>
    <w:rsid w:val="00FD2235"/>
    <w:rsid w:val="00FD23F8"/>
    <w:rsid w:val="00FD28C0"/>
    <w:rsid w:val="00FD2A17"/>
    <w:rsid w:val="00FD2F46"/>
    <w:rsid w:val="00FD2F58"/>
    <w:rsid w:val="00FD324C"/>
    <w:rsid w:val="00FD3F21"/>
    <w:rsid w:val="00FD421F"/>
    <w:rsid w:val="00FD47ED"/>
    <w:rsid w:val="00FD4C3E"/>
    <w:rsid w:val="00FD52EE"/>
    <w:rsid w:val="00FD54A0"/>
    <w:rsid w:val="00FD5608"/>
    <w:rsid w:val="00FD6258"/>
    <w:rsid w:val="00FD69C1"/>
    <w:rsid w:val="00FD71B9"/>
    <w:rsid w:val="00FD71C4"/>
    <w:rsid w:val="00FD73AD"/>
    <w:rsid w:val="00FD74DB"/>
    <w:rsid w:val="00FD7576"/>
    <w:rsid w:val="00FD7584"/>
    <w:rsid w:val="00FD7595"/>
    <w:rsid w:val="00FD7660"/>
    <w:rsid w:val="00FD7999"/>
    <w:rsid w:val="00FE01FA"/>
    <w:rsid w:val="00FE053C"/>
    <w:rsid w:val="00FE0655"/>
    <w:rsid w:val="00FE0825"/>
    <w:rsid w:val="00FE0B05"/>
    <w:rsid w:val="00FE0BC3"/>
    <w:rsid w:val="00FE13AE"/>
    <w:rsid w:val="00FE14C5"/>
    <w:rsid w:val="00FE14CD"/>
    <w:rsid w:val="00FE17BC"/>
    <w:rsid w:val="00FE18DF"/>
    <w:rsid w:val="00FE196F"/>
    <w:rsid w:val="00FE1A88"/>
    <w:rsid w:val="00FE1E1B"/>
    <w:rsid w:val="00FE2365"/>
    <w:rsid w:val="00FE23C9"/>
    <w:rsid w:val="00FE35A4"/>
    <w:rsid w:val="00FE37D7"/>
    <w:rsid w:val="00FE3A77"/>
    <w:rsid w:val="00FE3D23"/>
    <w:rsid w:val="00FE44A7"/>
    <w:rsid w:val="00FE468E"/>
    <w:rsid w:val="00FE4C7B"/>
    <w:rsid w:val="00FE4D19"/>
    <w:rsid w:val="00FE5272"/>
    <w:rsid w:val="00FE52B7"/>
    <w:rsid w:val="00FE57C2"/>
    <w:rsid w:val="00FE597E"/>
    <w:rsid w:val="00FE59C2"/>
    <w:rsid w:val="00FE5CBF"/>
    <w:rsid w:val="00FE5E8E"/>
    <w:rsid w:val="00FE6076"/>
    <w:rsid w:val="00FE670F"/>
    <w:rsid w:val="00FE6B6F"/>
    <w:rsid w:val="00FE6CB3"/>
    <w:rsid w:val="00FE7014"/>
    <w:rsid w:val="00FE716C"/>
    <w:rsid w:val="00FE7336"/>
    <w:rsid w:val="00FE787C"/>
    <w:rsid w:val="00FE7B35"/>
    <w:rsid w:val="00FE7D82"/>
    <w:rsid w:val="00FF03FE"/>
    <w:rsid w:val="00FF0525"/>
    <w:rsid w:val="00FF095F"/>
    <w:rsid w:val="00FF0D4A"/>
    <w:rsid w:val="00FF0EED"/>
    <w:rsid w:val="00FF2342"/>
    <w:rsid w:val="00FF2DCD"/>
    <w:rsid w:val="00FF2F49"/>
    <w:rsid w:val="00FF374A"/>
    <w:rsid w:val="00FF3AFE"/>
    <w:rsid w:val="00FF3F26"/>
    <w:rsid w:val="00FF40DB"/>
    <w:rsid w:val="00FF45A5"/>
    <w:rsid w:val="00FF45CE"/>
    <w:rsid w:val="00FF4EB6"/>
    <w:rsid w:val="00FF566F"/>
    <w:rsid w:val="00FF5839"/>
    <w:rsid w:val="00FF5943"/>
    <w:rsid w:val="00FF5C91"/>
    <w:rsid w:val="00FF64A1"/>
    <w:rsid w:val="00FF75D5"/>
    <w:rsid w:val="00FF765C"/>
    <w:rsid w:val="00FF7AB0"/>
    <w:rsid w:val="00FF7D75"/>
    <w:rsid w:val="0423E29E"/>
    <w:rsid w:val="0F464AA6"/>
    <w:rsid w:val="29DD53D4"/>
    <w:rsid w:val="33FE7E49"/>
    <w:rsid w:val="4F9D9F13"/>
    <w:rsid w:val="61640CA1"/>
    <w:rsid w:val="74CA5C22"/>
    <w:rsid w:val="76DD5AEF"/>
    <w:rsid w:val="7E754A7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6"/>
    <o:shapelayout v:ext="edit">
      <o:idmap v:ext="edit" data="1"/>
    </o:shapelayout>
  </w:shapeDefaults>
  <w:decimalSymbol w:val=","/>
  <w:listSeparator w:val=";"/>
  <w14:docId w14:val="445434EB"/>
  <w15:chartTrackingRefBased/>
  <w15:docId w15:val="{8CC80CFB-8680-4F8F-AAE9-8A9BCAD016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D7CF1"/>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题注"/>
    <w:basedOn w:val="Normal"/>
    <w:next w:val="Normal"/>
    <w:link w:val="CaptionChar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1"/>
      </w:numPr>
    </w:pPr>
  </w:style>
  <w:style w:type="paragraph" w:styleId="ListNumber">
    <w:name w:val="List Number"/>
    <w:basedOn w:val="List"/>
    <w:rsid w:val="003A70A4"/>
    <w:pPr>
      <w:numPr>
        <w:numId w:val="10"/>
      </w:numPr>
      <w:ind w:left="720"/>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6"/>
      </w:numPr>
    </w:pPr>
  </w:style>
  <w:style w:type="paragraph" w:styleId="ListBullet">
    <w:name w:val="List Bullet"/>
    <w:basedOn w:val="List"/>
    <w:rsid w:val="003A70A4"/>
    <w:pPr>
      <w:numPr>
        <w:numId w:val="5"/>
      </w:numPr>
    </w:pPr>
    <w:rPr>
      <w:lang w:eastAsia="ja-JP"/>
    </w:rPr>
  </w:style>
  <w:style w:type="paragraph" w:styleId="ListBullet3">
    <w:name w:val="List Bullet 3"/>
    <w:basedOn w:val="ListBullet2"/>
    <w:rsid w:val="008D00A5"/>
    <w:pPr>
      <w:numPr>
        <w:numId w:val="7"/>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rsid w:val="008D00A5"/>
    <w:pPr>
      <w:numPr>
        <w:numId w:val="9"/>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DB356B"/>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aliases w:val="left"/>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link w:val="ObservationChar"/>
    <w:autoRedefine/>
    <w:qFormat/>
    <w:rsid w:val="006A1D92"/>
    <w:pPr>
      <w:numPr>
        <w:numId w:val="14"/>
      </w:numPr>
      <w:ind w:left="1699" w:hanging="1699"/>
    </w:pPr>
    <w:rPr>
      <w:lang w:val="en-GB"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목록 단락,リスト段落,列出段落1,中等深浅网格 1 - 着色 21,列表段落,R4_bullets,列表段落1,—ño’i—Ž,¥¡¡¡¡ì¬º¥¹¥È¶ÎÂä,ÁÐ³ö¶ÎÂä,¥ê¥¹¥È¶ÎÂä,1st level - Bullet List Paragraph,Lettre d'introduction,Paragrafo elenco,Normal bullet 2,列表段落11"/>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R4_bullets Char,列表段落1 Char,—ño’i—Ž Char,¥¡¡¡¡ì¬º¥¹¥È¶ÎÂä Char,ÁÐ³ö¶ÎÂä Char,¥ê¥¹¥È¶ÎÂä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ind w:left="1004"/>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ArialText">
    <w:name w:val="Arial Text"/>
    <w:basedOn w:val="Normal"/>
    <w:link w:val="ArialTextChar"/>
    <w:qFormat/>
    <w:rsid w:val="003C4376"/>
    <w:pPr>
      <w:jc w:val="both"/>
    </w:pPr>
    <w:rPr>
      <w:lang w:eastAsia="ja-JP"/>
    </w:rPr>
  </w:style>
  <w:style w:type="character" w:customStyle="1" w:styleId="ArialTextChar">
    <w:name w:val="Arial Text Char"/>
    <w:basedOn w:val="DefaultParagraphFont"/>
    <w:link w:val="ArialText"/>
    <w:rsid w:val="003C4376"/>
    <w:rPr>
      <w:rFonts w:ascii="Arial" w:eastAsiaTheme="minorHAnsi" w:hAnsi="Arial" w:cstheme="minorBidi"/>
      <w:szCs w:val="22"/>
      <w:lang w:val="en-US" w:eastAsia="ja-JP"/>
    </w:rPr>
  </w:style>
  <w:style w:type="paragraph" w:customStyle="1" w:styleId="bullet">
    <w:name w:val="bullet"/>
    <w:basedOn w:val="ListParagraph"/>
    <w:qFormat/>
    <w:rsid w:val="003C4376"/>
    <w:pPr>
      <w:numPr>
        <w:numId w:val="13"/>
      </w:numPr>
      <w:spacing w:after="160" w:line="256" w:lineRule="auto"/>
      <w:ind w:left="720"/>
      <w:contextualSpacing/>
    </w:pPr>
    <w:rPr>
      <w:rFonts w:ascii="Arial" w:eastAsia="Times New Roman" w:hAnsi="Arial"/>
      <w:sz w:val="20"/>
      <w:szCs w:val="24"/>
      <w:lang w:val="en-GB" w:eastAsia="en-GB"/>
    </w:rPr>
  </w:style>
  <w:style w:type="character" w:customStyle="1" w:styleId="ObservationChar">
    <w:name w:val="Observation Char"/>
    <w:basedOn w:val="DefaultParagraphFont"/>
    <w:link w:val="Observation"/>
    <w:rsid w:val="006A1D92"/>
    <w:rPr>
      <w:rFonts w:ascii="Arial" w:eastAsiaTheme="minorHAnsi" w:hAnsi="Arial" w:cstheme="minorBidi"/>
      <w:b/>
      <w:bCs/>
      <w:szCs w:val="22"/>
      <w:lang w:eastAsia="ja-JP"/>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link w:val="Caption"/>
    <w:uiPriority w:val="99"/>
    <w:rsid w:val="00003308"/>
    <w:rPr>
      <w:rFonts w:ascii="Arial" w:eastAsiaTheme="minorHAnsi" w:hAnsi="Arial" w:cstheme="minorBidi"/>
      <w:b/>
      <w:szCs w:val="22"/>
      <w:lang w:val="en-US"/>
    </w:rPr>
  </w:style>
  <w:style w:type="table" w:customStyle="1" w:styleId="TableGrid7">
    <w:name w:val="Table Grid7"/>
    <w:basedOn w:val="TableNormal"/>
    <w:next w:val="TableGrid"/>
    <w:uiPriority w:val="39"/>
    <w:qFormat/>
    <w:rsid w:val="006534CE"/>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9A132E"/>
    <w:rPr>
      <w:rFonts w:ascii="Arial" w:hAnsi="Arial"/>
      <w:b/>
      <w:lang w:val="en-GB"/>
    </w:rPr>
  </w:style>
  <w:style w:type="character" w:styleId="PlaceholderText">
    <w:name w:val="Placeholder Text"/>
    <w:basedOn w:val="DefaultParagraphFont"/>
    <w:uiPriority w:val="99"/>
    <w:semiHidden/>
    <w:rsid w:val="00F543CE"/>
    <w:rPr>
      <w:color w:val="808080"/>
    </w:rPr>
  </w:style>
  <w:style w:type="character" w:customStyle="1" w:styleId="B1Zchn">
    <w:name w:val="B1 Zchn"/>
    <w:rsid w:val="00D32406"/>
    <w:rPr>
      <w:lang w:eastAsia="en-US"/>
    </w:rPr>
  </w:style>
  <w:style w:type="paragraph" w:styleId="NormalWeb">
    <w:name w:val="Normal (Web)"/>
    <w:basedOn w:val="Normal"/>
    <w:uiPriority w:val="99"/>
    <w:unhideWhenUsed/>
    <w:rsid w:val="00700428"/>
    <w:pPr>
      <w:spacing w:before="100" w:beforeAutospacing="1" w:after="100" w:afterAutospacing="1"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unhideWhenUsed/>
    <w:rsid w:val="00700428"/>
    <w:rPr>
      <w:color w:val="605E5C"/>
      <w:shd w:val="clear" w:color="auto" w:fill="E1DFDD"/>
    </w:rPr>
  </w:style>
  <w:style w:type="character" w:styleId="Mention">
    <w:name w:val="Mention"/>
    <w:basedOn w:val="DefaultParagraphFont"/>
    <w:uiPriority w:val="99"/>
    <w:unhideWhenUsed/>
    <w:rsid w:val="00700428"/>
    <w:rPr>
      <w:color w:val="2B579A"/>
      <w:shd w:val="clear" w:color="auto" w:fill="E1DFDD"/>
    </w:rPr>
  </w:style>
  <w:style w:type="paragraph" w:styleId="Revision">
    <w:name w:val="Revision"/>
    <w:hidden/>
    <w:uiPriority w:val="99"/>
    <w:semiHidden/>
    <w:rsid w:val="00700428"/>
    <w:rPr>
      <w:rFonts w:ascii="Arial" w:eastAsiaTheme="minorHAnsi" w:hAnsi="Arial" w:cstheme="minorBidi"/>
      <w:szCs w:val="22"/>
      <w:lang w:val="en-US" w:eastAsia="en-US"/>
    </w:rPr>
  </w:style>
  <w:style w:type="character" w:customStyle="1" w:styleId="TACChar">
    <w:name w:val="TAC Char"/>
    <w:link w:val="TAC"/>
    <w:qFormat/>
    <w:locked/>
    <w:rsid w:val="00D11EDE"/>
    <w:rPr>
      <w:rFonts w:ascii="Arial" w:eastAsiaTheme="minorHAnsi" w:hAnsi="Arial" w:cstheme="minorBidi"/>
      <w:sz w:val="18"/>
      <w:szCs w:val="22"/>
      <w:lang w:val="x-none" w:eastAsia="x-none"/>
    </w:rPr>
  </w:style>
  <w:style w:type="character" w:customStyle="1" w:styleId="TANChar">
    <w:name w:val="TAN Char"/>
    <w:link w:val="TAN"/>
    <w:rsid w:val="00D11EDE"/>
    <w:rPr>
      <w:rFonts w:ascii="Arial" w:eastAsiaTheme="minorHAnsi" w:hAnsi="Arial" w:cstheme="minorBidi"/>
      <w:sz w:val="18"/>
      <w:szCs w:val="22"/>
      <w:lang w:val="x-none" w:eastAsia="x-none"/>
    </w:rPr>
  </w:style>
  <w:style w:type="paragraph" w:customStyle="1" w:styleId="IvDbodytext">
    <w:name w:val="IvD bodytext"/>
    <w:basedOn w:val="BodyText"/>
    <w:link w:val="IvDbodytextChar"/>
    <w:qFormat/>
    <w:rsid w:val="00481B82"/>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basedOn w:val="BodyTextChar"/>
    <w:link w:val="IvDbodytext"/>
    <w:rsid w:val="00481B82"/>
    <w:rPr>
      <w:rFonts w:ascii="Arial" w:hAnsi="Arial"/>
      <w:spacing w:val="2"/>
      <w:lang w:val="en-US" w:eastAsia="en-US"/>
    </w:rPr>
  </w:style>
  <w:style w:type="table" w:customStyle="1" w:styleId="TableGrid1">
    <w:name w:val="Table Grid1"/>
    <w:basedOn w:val="TableNormal"/>
    <w:next w:val="TableGrid"/>
    <w:qFormat/>
    <w:rsid w:val="00E3529F"/>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Label87">
    <w:name w:val="ListLabel 87"/>
    <w:qFormat/>
    <w:rsid w:val="007E3EFD"/>
    <w:rPr>
      <w:rFonts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13342">
      <w:bodyDiv w:val="1"/>
      <w:marLeft w:val="0"/>
      <w:marRight w:val="0"/>
      <w:marTop w:val="0"/>
      <w:marBottom w:val="0"/>
      <w:divBdr>
        <w:top w:val="none" w:sz="0" w:space="0" w:color="auto"/>
        <w:left w:val="none" w:sz="0" w:space="0" w:color="auto"/>
        <w:bottom w:val="none" w:sz="0" w:space="0" w:color="auto"/>
        <w:right w:val="none" w:sz="0" w:space="0" w:color="auto"/>
      </w:divBdr>
    </w:div>
    <w:div w:id="97916643">
      <w:bodyDiv w:val="1"/>
      <w:marLeft w:val="0"/>
      <w:marRight w:val="0"/>
      <w:marTop w:val="0"/>
      <w:marBottom w:val="0"/>
      <w:divBdr>
        <w:top w:val="none" w:sz="0" w:space="0" w:color="auto"/>
        <w:left w:val="none" w:sz="0" w:space="0" w:color="auto"/>
        <w:bottom w:val="none" w:sz="0" w:space="0" w:color="auto"/>
        <w:right w:val="none" w:sz="0" w:space="0" w:color="auto"/>
      </w:divBdr>
      <w:divsChild>
        <w:div w:id="2100709097">
          <w:marLeft w:val="576"/>
          <w:marRight w:val="0"/>
          <w:marTop w:val="160"/>
          <w:marBottom w:val="0"/>
          <w:divBdr>
            <w:top w:val="none" w:sz="0" w:space="0" w:color="auto"/>
            <w:left w:val="none" w:sz="0" w:space="0" w:color="auto"/>
            <w:bottom w:val="none" w:sz="0" w:space="0" w:color="auto"/>
            <w:right w:val="none" w:sz="0" w:space="0" w:color="auto"/>
          </w:divBdr>
        </w:div>
      </w:divsChild>
    </w:div>
    <w:div w:id="167326870">
      <w:bodyDiv w:val="1"/>
      <w:marLeft w:val="0"/>
      <w:marRight w:val="0"/>
      <w:marTop w:val="0"/>
      <w:marBottom w:val="0"/>
      <w:divBdr>
        <w:top w:val="none" w:sz="0" w:space="0" w:color="auto"/>
        <w:left w:val="none" w:sz="0" w:space="0" w:color="auto"/>
        <w:bottom w:val="none" w:sz="0" w:space="0" w:color="auto"/>
        <w:right w:val="none" w:sz="0" w:space="0" w:color="auto"/>
      </w:divBdr>
    </w:div>
    <w:div w:id="229779299">
      <w:bodyDiv w:val="1"/>
      <w:marLeft w:val="0"/>
      <w:marRight w:val="0"/>
      <w:marTop w:val="0"/>
      <w:marBottom w:val="0"/>
      <w:divBdr>
        <w:top w:val="none" w:sz="0" w:space="0" w:color="auto"/>
        <w:left w:val="none" w:sz="0" w:space="0" w:color="auto"/>
        <w:bottom w:val="none" w:sz="0" w:space="0" w:color="auto"/>
        <w:right w:val="none" w:sz="0" w:space="0" w:color="auto"/>
      </w:divBdr>
    </w:div>
    <w:div w:id="281499422">
      <w:bodyDiv w:val="1"/>
      <w:marLeft w:val="0"/>
      <w:marRight w:val="0"/>
      <w:marTop w:val="0"/>
      <w:marBottom w:val="0"/>
      <w:divBdr>
        <w:top w:val="none" w:sz="0" w:space="0" w:color="auto"/>
        <w:left w:val="none" w:sz="0" w:space="0" w:color="auto"/>
        <w:bottom w:val="none" w:sz="0" w:space="0" w:color="auto"/>
        <w:right w:val="none" w:sz="0" w:space="0" w:color="auto"/>
      </w:divBdr>
      <w:divsChild>
        <w:div w:id="880286382">
          <w:marLeft w:val="576"/>
          <w:marRight w:val="0"/>
          <w:marTop w:val="160"/>
          <w:marBottom w:val="0"/>
          <w:divBdr>
            <w:top w:val="none" w:sz="0" w:space="0" w:color="auto"/>
            <w:left w:val="none" w:sz="0" w:space="0" w:color="auto"/>
            <w:bottom w:val="none" w:sz="0" w:space="0" w:color="auto"/>
            <w:right w:val="none" w:sz="0" w:space="0" w:color="auto"/>
          </w:divBdr>
        </w:div>
        <w:div w:id="1847207675">
          <w:marLeft w:val="576"/>
          <w:marRight w:val="0"/>
          <w:marTop w:val="160"/>
          <w:marBottom w:val="0"/>
          <w:divBdr>
            <w:top w:val="none" w:sz="0" w:space="0" w:color="auto"/>
            <w:left w:val="none" w:sz="0" w:space="0" w:color="auto"/>
            <w:bottom w:val="none" w:sz="0" w:space="0" w:color="auto"/>
            <w:right w:val="none" w:sz="0" w:space="0" w:color="auto"/>
          </w:divBdr>
        </w:div>
      </w:divsChild>
    </w:div>
    <w:div w:id="286467873">
      <w:bodyDiv w:val="1"/>
      <w:marLeft w:val="0"/>
      <w:marRight w:val="0"/>
      <w:marTop w:val="0"/>
      <w:marBottom w:val="0"/>
      <w:divBdr>
        <w:top w:val="none" w:sz="0" w:space="0" w:color="auto"/>
        <w:left w:val="none" w:sz="0" w:space="0" w:color="auto"/>
        <w:bottom w:val="none" w:sz="0" w:space="0" w:color="auto"/>
        <w:right w:val="none" w:sz="0" w:space="0" w:color="auto"/>
      </w:divBdr>
    </w:div>
    <w:div w:id="340200856">
      <w:bodyDiv w:val="1"/>
      <w:marLeft w:val="0"/>
      <w:marRight w:val="0"/>
      <w:marTop w:val="0"/>
      <w:marBottom w:val="0"/>
      <w:divBdr>
        <w:top w:val="none" w:sz="0" w:space="0" w:color="auto"/>
        <w:left w:val="none" w:sz="0" w:space="0" w:color="auto"/>
        <w:bottom w:val="none" w:sz="0" w:space="0" w:color="auto"/>
        <w:right w:val="none" w:sz="0" w:space="0" w:color="auto"/>
      </w:divBdr>
    </w:div>
    <w:div w:id="352995668">
      <w:bodyDiv w:val="1"/>
      <w:marLeft w:val="0"/>
      <w:marRight w:val="0"/>
      <w:marTop w:val="0"/>
      <w:marBottom w:val="0"/>
      <w:divBdr>
        <w:top w:val="none" w:sz="0" w:space="0" w:color="auto"/>
        <w:left w:val="none" w:sz="0" w:space="0" w:color="auto"/>
        <w:bottom w:val="none" w:sz="0" w:space="0" w:color="auto"/>
        <w:right w:val="none" w:sz="0" w:space="0" w:color="auto"/>
      </w:divBdr>
    </w:div>
    <w:div w:id="419253788">
      <w:bodyDiv w:val="1"/>
      <w:marLeft w:val="0"/>
      <w:marRight w:val="0"/>
      <w:marTop w:val="0"/>
      <w:marBottom w:val="0"/>
      <w:divBdr>
        <w:top w:val="none" w:sz="0" w:space="0" w:color="auto"/>
        <w:left w:val="none" w:sz="0" w:space="0" w:color="auto"/>
        <w:bottom w:val="none" w:sz="0" w:space="0" w:color="auto"/>
        <w:right w:val="none" w:sz="0" w:space="0" w:color="auto"/>
      </w:divBdr>
    </w:div>
    <w:div w:id="556016400">
      <w:bodyDiv w:val="1"/>
      <w:marLeft w:val="0"/>
      <w:marRight w:val="0"/>
      <w:marTop w:val="0"/>
      <w:marBottom w:val="0"/>
      <w:divBdr>
        <w:top w:val="none" w:sz="0" w:space="0" w:color="auto"/>
        <w:left w:val="none" w:sz="0" w:space="0" w:color="auto"/>
        <w:bottom w:val="none" w:sz="0" w:space="0" w:color="auto"/>
        <w:right w:val="none" w:sz="0" w:space="0" w:color="auto"/>
      </w:divBdr>
    </w:div>
    <w:div w:id="582836687">
      <w:bodyDiv w:val="1"/>
      <w:marLeft w:val="0"/>
      <w:marRight w:val="0"/>
      <w:marTop w:val="0"/>
      <w:marBottom w:val="0"/>
      <w:divBdr>
        <w:top w:val="none" w:sz="0" w:space="0" w:color="auto"/>
        <w:left w:val="none" w:sz="0" w:space="0" w:color="auto"/>
        <w:bottom w:val="none" w:sz="0" w:space="0" w:color="auto"/>
        <w:right w:val="none" w:sz="0" w:space="0" w:color="auto"/>
      </w:divBdr>
    </w:div>
    <w:div w:id="624310956">
      <w:bodyDiv w:val="1"/>
      <w:marLeft w:val="0"/>
      <w:marRight w:val="0"/>
      <w:marTop w:val="0"/>
      <w:marBottom w:val="0"/>
      <w:divBdr>
        <w:top w:val="none" w:sz="0" w:space="0" w:color="auto"/>
        <w:left w:val="none" w:sz="0" w:space="0" w:color="auto"/>
        <w:bottom w:val="none" w:sz="0" w:space="0" w:color="auto"/>
        <w:right w:val="none" w:sz="0" w:space="0" w:color="auto"/>
      </w:divBdr>
      <w:divsChild>
        <w:div w:id="1361475026">
          <w:marLeft w:val="0"/>
          <w:marRight w:val="0"/>
          <w:marTop w:val="0"/>
          <w:marBottom w:val="0"/>
          <w:divBdr>
            <w:top w:val="none" w:sz="0" w:space="0" w:color="auto"/>
            <w:left w:val="none" w:sz="0" w:space="0" w:color="auto"/>
            <w:bottom w:val="none" w:sz="0" w:space="0" w:color="auto"/>
            <w:right w:val="none" w:sz="0" w:space="0" w:color="auto"/>
          </w:divBdr>
        </w:div>
      </w:divsChild>
    </w:div>
    <w:div w:id="639925725">
      <w:bodyDiv w:val="1"/>
      <w:marLeft w:val="0"/>
      <w:marRight w:val="0"/>
      <w:marTop w:val="0"/>
      <w:marBottom w:val="0"/>
      <w:divBdr>
        <w:top w:val="none" w:sz="0" w:space="0" w:color="auto"/>
        <w:left w:val="none" w:sz="0" w:space="0" w:color="auto"/>
        <w:bottom w:val="none" w:sz="0" w:space="0" w:color="auto"/>
        <w:right w:val="none" w:sz="0" w:space="0" w:color="auto"/>
      </w:divBdr>
    </w:div>
    <w:div w:id="651715986">
      <w:bodyDiv w:val="1"/>
      <w:marLeft w:val="0"/>
      <w:marRight w:val="0"/>
      <w:marTop w:val="0"/>
      <w:marBottom w:val="0"/>
      <w:divBdr>
        <w:top w:val="none" w:sz="0" w:space="0" w:color="auto"/>
        <w:left w:val="none" w:sz="0" w:space="0" w:color="auto"/>
        <w:bottom w:val="none" w:sz="0" w:space="0" w:color="auto"/>
        <w:right w:val="none" w:sz="0" w:space="0" w:color="auto"/>
      </w:divBdr>
    </w:div>
    <w:div w:id="656344125">
      <w:bodyDiv w:val="1"/>
      <w:marLeft w:val="0"/>
      <w:marRight w:val="0"/>
      <w:marTop w:val="0"/>
      <w:marBottom w:val="0"/>
      <w:divBdr>
        <w:top w:val="none" w:sz="0" w:space="0" w:color="auto"/>
        <w:left w:val="none" w:sz="0" w:space="0" w:color="auto"/>
        <w:bottom w:val="none" w:sz="0" w:space="0" w:color="auto"/>
        <w:right w:val="none" w:sz="0" w:space="0" w:color="auto"/>
      </w:divBdr>
    </w:div>
    <w:div w:id="739443394">
      <w:bodyDiv w:val="1"/>
      <w:marLeft w:val="0"/>
      <w:marRight w:val="0"/>
      <w:marTop w:val="0"/>
      <w:marBottom w:val="0"/>
      <w:divBdr>
        <w:top w:val="none" w:sz="0" w:space="0" w:color="auto"/>
        <w:left w:val="none" w:sz="0" w:space="0" w:color="auto"/>
        <w:bottom w:val="none" w:sz="0" w:space="0" w:color="auto"/>
        <w:right w:val="none" w:sz="0" w:space="0" w:color="auto"/>
      </w:divBdr>
    </w:div>
    <w:div w:id="745801396">
      <w:bodyDiv w:val="1"/>
      <w:marLeft w:val="0"/>
      <w:marRight w:val="0"/>
      <w:marTop w:val="0"/>
      <w:marBottom w:val="0"/>
      <w:divBdr>
        <w:top w:val="none" w:sz="0" w:space="0" w:color="auto"/>
        <w:left w:val="none" w:sz="0" w:space="0" w:color="auto"/>
        <w:bottom w:val="none" w:sz="0" w:space="0" w:color="auto"/>
        <w:right w:val="none" w:sz="0" w:space="0" w:color="auto"/>
      </w:divBdr>
    </w:div>
    <w:div w:id="762652391">
      <w:bodyDiv w:val="1"/>
      <w:marLeft w:val="0"/>
      <w:marRight w:val="0"/>
      <w:marTop w:val="0"/>
      <w:marBottom w:val="0"/>
      <w:divBdr>
        <w:top w:val="none" w:sz="0" w:space="0" w:color="auto"/>
        <w:left w:val="none" w:sz="0" w:space="0" w:color="auto"/>
        <w:bottom w:val="none" w:sz="0" w:space="0" w:color="auto"/>
        <w:right w:val="none" w:sz="0" w:space="0" w:color="auto"/>
      </w:divBdr>
    </w:div>
    <w:div w:id="896548575">
      <w:bodyDiv w:val="1"/>
      <w:marLeft w:val="0"/>
      <w:marRight w:val="0"/>
      <w:marTop w:val="0"/>
      <w:marBottom w:val="0"/>
      <w:divBdr>
        <w:top w:val="none" w:sz="0" w:space="0" w:color="auto"/>
        <w:left w:val="none" w:sz="0" w:space="0" w:color="auto"/>
        <w:bottom w:val="none" w:sz="0" w:space="0" w:color="auto"/>
        <w:right w:val="none" w:sz="0" w:space="0" w:color="auto"/>
      </w:divBdr>
    </w:div>
    <w:div w:id="921793141">
      <w:bodyDiv w:val="1"/>
      <w:marLeft w:val="0"/>
      <w:marRight w:val="0"/>
      <w:marTop w:val="0"/>
      <w:marBottom w:val="0"/>
      <w:divBdr>
        <w:top w:val="none" w:sz="0" w:space="0" w:color="auto"/>
        <w:left w:val="none" w:sz="0" w:space="0" w:color="auto"/>
        <w:bottom w:val="none" w:sz="0" w:space="0" w:color="auto"/>
        <w:right w:val="none" w:sz="0" w:space="0" w:color="auto"/>
      </w:divBdr>
    </w:div>
    <w:div w:id="948511474">
      <w:bodyDiv w:val="1"/>
      <w:marLeft w:val="0"/>
      <w:marRight w:val="0"/>
      <w:marTop w:val="0"/>
      <w:marBottom w:val="0"/>
      <w:divBdr>
        <w:top w:val="none" w:sz="0" w:space="0" w:color="auto"/>
        <w:left w:val="none" w:sz="0" w:space="0" w:color="auto"/>
        <w:bottom w:val="none" w:sz="0" w:space="0" w:color="auto"/>
        <w:right w:val="none" w:sz="0" w:space="0" w:color="auto"/>
      </w:divBdr>
    </w:div>
    <w:div w:id="1130316792">
      <w:bodyDiv w:val="1"/>
      <w:marLeft w:val="0"/>
      <w:marRight w:val="0"/>
      <w:marTop w:val="0"/>
      <w:marBottom w:val="0"/>
      <w:divBdr>
        <w:top w:val="none" w:sz="0" w:space="0" w:color="auto"/>
        <w:left w:val="none" w:sz="0" w:space="0" w:color="auto"/>
        <w:bottom w:val="none" w:sz="0" w:space="0" w:color="auto"/>
        <w:right w:val="none" w:sz="0" w:space="0" w:color="auto"/>
      </w:divBdr>
    </w:div>
    <w:div w:id="1153371655">
      <w:bodyDiv w:val="1"/>
      <w:marLeft w:val="0"/>
      <w:marRight w:val="0"/>
      <w:marTop w:val="0"/>
      <w:marBottom w:val="0"/>
      <w:divBdr>
        <w:top w:val="none" w:sz="0" w:space="0" w:color="auto"/>
        <w:left w:val="none" w:sz="0" w:space="0" w:color="auto"/>
        <w:bottom w:val="none" w:sz="0" w:space="0" w:color="auto"/>
        <w:right w:val="none" w:sz="0" w:space="0" w:color="auto"/>
      </w:divBdr>
    </w:div>
    <w:div w:id="1220900139">
      <w:bodyDiv w:val="1"/>
      <w:marLeft w:val="0"/>
      <w:marRight w:val="0"/>
      <w:marTop w:val="0"/>
      <w:marBottom w:val="0"/>
      <w:divBdr>
        <w:top w:val="none" w:sz="0" w:space="0" w:color="auto"/>
        <w:left w:val="none" w:sz="0" w:space="0" w:color="auto"/>
        <w:bottom w:val="none" w:sz="0" w:space="0" w:color="auto"/>
        <w:right w:val="none" w:sz="0" w:space="0" w:color="auto"/>
      </w:divBdr>
      <w:divsChild>
        <w:div w:id="1623732533">
          <w:marLeft w:val="288"/>
          <w:marRight w:val="0"/>
          <w:marTop w:val="160"/>
          <w:marBottom w:val="0"/>
          <w:divBdr>
            <w:top w:val="none" w:sz="0" w:space="0" w:color="auto"/>
            <w:left w:val="none" w:sz="0" w:space="0" w:color="auto"/>
            <w:bottom w:val="none" w:sz="0" w:space="0" w:color="auto"/>
            <w:right w:val="none" w:sz="0" w:space="0" w:color="auto"/>
          </w:divBdr>
        </w:div>
      </w:divsChild>
    </w:div>
    <w:div w:id="1394506796">
      <w:bodyDiv w:val="1"/>
      <w:marLeft w:val="0"/>
      <w:marRight w:val="0"/>
      <w:marTop w:val="0"/>
      <w:marBottom w:val="0"/>
      <w:divBdr>
        <w:top w:val="none" w:sz="0" w:space="0" w:color="auto"/>
        <w:left w:val="none" w:sz="0" w:space="0" w:color="auto"/>
        <w:bottom w:val="none" w:sz="0" w:space="0" w:color="auto"/>
        <w:right w:val="none" w:sz="0" w:space="0" w:color="auto"/>
      </w:divBdr>
    </w:div>
    <w:div w:id="1436712599">
      <w:bodyDiv w:val="1"/>
      <w:marLeft w:val="0"/>
      <w:marRight w:val="0"/>
      <w:marTop w:val="0"/>
      <w:marBottom w:val="0"/>
      <w:divBdr>
        <w:top w:val="none" w:sz="0" w:space="0" w:color="auto"/>
        <w:left w:val="none" w:sz="0" w:space="0" w:color="auto"/>
        <w:bottom w:val="none" w:sz="0" w:space="0" w:color="auto"/>
        <w:right w:val="none" w:sz="0" w:space="0" w:color="auto"/>
      </w:divBdr>
    </w:div>
    <w:div w:id="1442340454">
      <w:bodyDiv w:val="1"/>
      <w:marLeft w:val="0"/>
      <w:marRight w:val="0"/>
      <w:marTop w:val="0"/>
      <w:marBottom w:val="0"/>
      <w:divBdr>
        <w:top w:val="none" w:sz="0" w:space="0" w:color="auto"/>
        <w:left w:val="none" w:sz="0" w:space="0" w:color="auto"/>
        <w:bottom w:val="none" w:sz="0" w:space="0" w:color="auto"/>
        <w:right w:val="none" w:sz="0" w:space="0" w:color="auto"/>
      </w:divBdr>
    </w:div>
    <w:div w:id="1490706483">
      <w:bodyDiv w:val="1"/>
      <w:marLeft w:val="0"/>
      <w:marRight w:val="0"/>
      <w:marTop w:val="0"/>
      <w:marBottom w:val="0"/>
      <w:divBdr>
        <w:top w:val="none" w:sz="0" w:space="0" w:color="auto"/>
        <w:left w:val="none" w:sz="0" w:space="0" w:color="auto"/>
        <w:bottom w:val="none" w:sz="0" w:space="0" w:color="auto"/>
        <w:right w:val="none" w:sz="0" w:space="0" w:color="auto"/>
      </w:divBdr>
      <w:divsChild>
        <w:div w:id="593901414">
          <w:marLeft w:val="1138"/>
          <w:marRight w:val="0"/>
          <w:marTop w:val="160"/>
          <w:marBottom w:val="0"/>
          <w:divBdr>
            <w:top w:val="none" w:sz="0" w:space="0" w:color="auto"/>
            <w:left w:val="none" w:sz="0" w:space="0" w:color="auto"/>
            <w:bottom w:val="none" w:sz="0" w:space="0" w:color="auto"/>
            <w:right w:val="none" w:sz="0" w:space="0" w:color="auto"/>
          </w:divBdr>
        </w:div>
        <w:div w:id="1029988580">
          <w:marLeft w:val="1138"/>
          <w:marRight w:val="0"/>
          <w:marTop w:val="160"/>
          <w:marBottom w:val="0"/>
          <w:divBdr>
            <w:top w:val="none" w:sz="0" w:space="0" w:color="auto"/>
            <w:left w:val="none" w:sz="0" w:space="0" w:color="auto"/>
            <w:bottom w:val="none" w:sz="0" w:space="0" w:color="auto"/>
            <w:right w:val="none" w:sz="0" w:space="0" w:color="auto"/>
          </w:divBdr>
        </w:div>
      </w:divsChild>
    </w:div>
    <w:div w:id="1494106536">
      <w:bodyDiv w:val="1"/>
      <w:marLeft w:val="0"/>
      <w:marRight w:val="0"/>
      <w:marTop w:val="0"/>
      <w:marBottom w:val="0"/>
      <w:divBdr>
        <w:top w:val="none" w:sz="0" w:space="0" w:color="auto"/>
        <w:left w:val="none" w:sz="0" w:space="0" w:color="auto"/>
        <w:bottom w:val="none" w:sz="0" w:space="0" w:color="auto"/>
        <w:right w:val="none" w:sz="0" w:space="0" w:color="auto"/>
      </w:divBdr>
      <w:divsChild>
        <w:div w:id="12078293">
          <w:marLeft w:val="576"/>
          <w:marRight w:val="0"/>
          <w:marTop w:val="160"/>
          <w:marBottom w:val="0"/>
          <w:divBdr>
            <w:top w:val="none" w:sz="0" w:space="0" w:color="auto"/>
            <w:left w:val="none" w:sz="0" w:space="0" w:color="auto"/>
            <w:bottom w:val="none" w:sz="0" w:space="0" w:color="auto"/>
            <w:right w:val="none" w:sz="0" w:space="0" w:color="auto"/>
          </w:divBdr>
        </w:div>
        <w:div w:id="912280705">
          <w:marLeft w:val="576"/>
          <w:marRight w:val="0"/>
          <w:marTop w:val="160"/>
          <w:marBottom w:val="0"/>
          <w:divBdr>
            <w:top w:val="none" w:sz="0" w:space="0" w:color="auto"/>
            <w:left w:val="none" w:sz="0" w:space="0" w:color="auto"/>
            <w:bottom w:val="none" w:sz="0" w:space="0" w:color="auto"/>
            <w:right w:val="none" w:sz="0" w:space="0" w:color="auto"/>
          </w:divBdr>
        </w:div>
        <w:div w:id="1494763554">
          <w:marLeft w:val="576"/>
          <w:marRight w:val="0"/>
          <w:marTop w:val="160"/>
          <w:marBottom w:val="0"/>
          <w:divBdr>
            <w:top w:val="none" w:sz="0" w:space="0" w:color="auto"/>
            <w:left w:val="none" w:sz="0" w:space="0" w:color="auto"/>
            <w:bottom w:val="none" w:sz="0" w:space="0" w:color="auto"/>
            <w:right w:val="none" w:sz="0" w:space="0" w:color="auto"/>
          </w:divBdr>
        </w:div>
        <w:div w:id="2008167980">
          <w:marLeft w:val="576"/>
          <w:marRight w:val="0"/>
          <w:marTop w:val="160"/>
          <w:marBottom w:val="0"/>
          <w:divBdr>
            <w:top w:val="none" w:sz="0" w:space="0" w:color="auto"/>
            <w:left w:val="none" w:sz="0" w:space="0" w:color="auto"/>
            <w:bottom w:val="none" w:sz="0" w:space="0" w:color="auto"/>
            <w:right w:val="none" w:sz="0" w:space="0" w:color="auto"/>
          </w:divBdr>
        </w:div>
      </w:divsChild>
    </w:div>
    <w:div w:id="1534927535">
      <w:bodyDiv w:val="1"/>
      <w:marLeft w:val="0"/>
      <w:marRight w:val="0"/>
      <w:marTop w:val="0"/>
      <w:marBottom w:val="0"/>
      <w:divBdr>
        <w:top w:val="none" w:sz="0" w:space="0" w:color="auto"/>
        <w:left w:val="none" w:sz="0" w:space="0" w:color="auto"/>
        <w:bottom w:val="none" w:sz="0" w:space="0" w:color="auto"/>
        <w:right w:val="none" w:sz="0" w:space="0" w:color="auto"/>
      </w:divBdr>
    </w:div>
    <w:div w:id="1535342370">
      <w:bodyDiv w:val="1"/>
      <w:marLeft w:val="0"/>
      <w:marRight w:val="0"/>
      <w:marTop w:val="0"/>
      <w:marBottom w:val="0"/>
      <w:divBdr>
        <w:top w:val="none" w:sz="0" w:space="0" w:color="auto"/>
        <w:left w:val="none" w:sz="0" w:space="0" w:color="auto"/>
        <w:bottom w:val="none" w:sz="0" w:space="0" w:color="auto"/>
        <w:right w:val="none" w:sz="0" w:space="0" w:color="auto"/>
      </w:divBdr>
    </w:div>
    <w:div w:id="1590849864">
      <w:bodyDiv w:val="1"/>
      <w:marLeft w:val="0"/>
      <w:marRight w:val="0"/>
      <w:marTop w:val="0"/>
      <w:marBottom w:val="0"/>
      <w:divBdr>
        <w:top w:val="none" w:sz="0" w:space="0" w:color="auto"/>
        <w:left w:val="none" w:sz="0" w:space="0" w:color="auto"/>
        <w:bottom w:val="none" w:sz="0" w:space="0" w:color="auto"/>
        <w:right w:val="none" w:sz="0" w:space="0" w:color="auto"/>
      </w:divBdr>
    </w:div>
    <w:div w:id="1789426022">
      <w:bodyDiv w:val="1"/>
      <w:marLeft w:val="0"/>
      <w:marRight w:val="0"/>
      <w:marTop w:val="0"/>
      <w:marBottom w:val="0"/>
      <w:divBdr>
        <w:top w:val="none" w:sz="0" w:space="0" w:color="auto"/>
        <w:left w:val="none" w:sz="0" w:space="0" w:color="auto"/>
        <w:bottom w:val="none" w:sz="0" w:space="0" w:color="auto"/>
        <w:right w:val="none" w:sz="0" w:space="0" w:color="auto"/>
      </w:divBdr>
      <w:divsChild>
        <w:div w:id="493452366">
          <w:marLeft w:val="288"/>
          <w:marRight w:val="0"/>
          <w:marTop w:val="160"/>
          <w:marBottom w:val="0"/>
          <w:divBdr>
            <w:top w:val="none" w:sz="0" w:space="0" w:color="auto"/>
            <w:left w:val="none" w:sz="0" w:space="0" w:color="auto"/>
            <w:bottom w:val="none" w:sz="0" w:space="0" w:color="auto"/>
            <w:right w:val="none" w:sz="0" w:space="0" w:color="auto"/>
          </w:divBdr>
        </w:div>
      </w:divsChild>
    </w:div>
    <w:div w:id="1880510471">
      <w:bodyDiv w:val="1"/>
      <w:marLeft w:val="0"/>
      <w:marRight w:val="0"/>
      <w:marTop w:val="0"/>
      <w:marBottom w:val="0"/>
      <w:divBdr>
        <w:top w:val="none" w:sz="0" w:space="0" w:color="auto"/>
        <w:left w:val="none" w:sz="0" w:space="0" w:color="auto"/>
        <w:bottom w:val="none" w:sz="0" w:space="0" w:color="auto"/>
        <w:right w:val="none" w:sz="0" w:space="0" w:color="auto"/>
      </w:divBdr>
    </w:div>
    <w:div w:id="1921326831">
      <w:bodyDiv w:val="1"/>
      <w:marLeft w:val="0"/>
      <w:marRight w:val="0"/>
      <w:marTop w:val="0"/>
      <w:marBottom w:val="0"/>
      <w:divBdr>
        <w:top w:val="none" w:sz="0" w:space="0" w:color="auto"/>
        <w:left w:val="none" w:sz="0" w:space="0" w:color="auto"/>
        <w:bottom w:val="none" w:sz="0" w:space="0" w:color="auto"/>
        <w:right w:val="none" w:sz="0" w:space="0" w:color="auto"/>
      </w:divBdr>
    </w:div>
    <w:div w:id="1990133834">
      <w:bodyDiv w:val="1"/>
      <w:marLeft w:val="0"/>
      <w:marRight w:val="0"/>
      <w:marTop w:val="0"/>
      <w:marBottom w:val="0"/>
      <w:divBdr>
        <w:top w:val="none" w:sz="0" w:space="0" w:color="auto"/>
        <w:left w:val="none" w:sz="0" w:space="0" w:color="auto"/>
        <w:bottom w:val="none" w:sz="0" w:space="0" w:color="auto"/>
        <w:right w:val="none" w:sz="0" w:space="0" w:color="auto"/>
      </w:divBdr>
    </w:div>
    <w:div w:id="2067336792">
      <w:bodyDiv w:val="1"/>
      <w:marLeft w:val="0"/>
      <w:marRight w:val="0"/>
      <w:marTop w:val="0"/>
      <w:marBottom w:val="0"/>
      <w:divBdr>
        <w:top w:val="none" w:sz="0" w:space="0" w:color="auto"/>
        <w:left w:val="none" w:sz="0" w:space="0" w:color="auto"/>
        <w:bottom w:val="none" w:sz="0" w:space="0" w:color="auto"/>
        <w:right w:val="none" w:sz="0" w:space="0" w:color="auto"/>
      </w:divBdr>
      <w:divsChild>
        <w:div w:id="311641239">
          <w:marLeft w:val="533"/>
          <w:marRight w:val="0"/>
          <w:marTop w:val="160"/>
          <w:marBottom w:val="0"/>
          <w:divBdr>
            <w:top w:val="none" w:sz="0" w:space="0" w:color="auto"/>
            <w:left w:val="none" w:sz="0" w:space="0" w:color="auto"/>
            <w:bottom w:val="none" w:sz="0" w:space="0" w:color="auto"/>
            <w:right w:val="none" w:sz="0" w:space="0" w:color="auto"/>
          </w:divBdr>
        </w:div>
        <w:div w:id="464005371">
          <w:marLeft w:val="1411"/>
          <w:marRight w:val="0"/>
          <w:marTop w:val="160"/>
          <w:marBottom w:val="0"/>
          <w:divBdr>
            <w:top w:val="none" w:sz="0" w:space="0" w:color="auto"/>
            <w:left w:val="none" w:sz="0" w:space="0" w:color="auto"/>
            <w:bottom w:val="none" w:sz="0" w:space="0" w:color="auto"/>
            <w:right w:val="none" w:sz="0" w:space="0" w:color="auto"/>
          </w:divBdr>
        </w:div>
        <w:div w:id="1911579268">
          <w:marLeft w:val="1411"/>
          <w:marRight w:val="0"/>
          <w:marTop w:val="160"/>
          <w:marBottom w:val="0"/>
          <w:divBdr>
            <w:top w:val="none" w:sz="0" w:space="0" w:color="auto"/>
            <w:left w:val="none" w:sz="0" w:space="0" w:color="auto"/>
            <w:bottom w:val="none" w:sz="0" w:space="0" w:color="auto"/>
            <w:right w:val="none" w:sz="0" w:space="0" w:color="auto"/>
          </w:divBdr>
        </w:div>
        <w:div w:id="1930774160">
          <w:marLeft w:val="1123"/>
          <w:marRight w:val="0"/>
          <w:marTop w:val="160"/>
          <w:marBottom w:val="0"/>
          <w:divBdr>
            <w:top w:val="none" w:sz="0" w:space="0" w:color="auto"/>
            <w:left w:val="none" w:sz="0" w:space="0" w:color="auto"/>
            <w:bottom w:val="none" w:sz="0" w:space="0" w:color="auto"/>
            <w:right w:val="none" w:sz="0" w:space="0" w:color="auto"/>
          </w:divBdr>
        </w:div>
      </w:divsChild>
    </w:div>
    <w:div w:id="2105568907">
      <w:bodyDiv w:val="1"/>
      <w:marLeft w:val="0"/>
      <w:marRight w:val="0"/>
      <w:marTop w:val="0"/>
      <w:marBottom w:val="0"/>
      <w:divBdr>
        <w:top w:val="none" w:sz="0" w:space="0" w:color="auto"/>
        <w:left w:val="none" w:sz="0" w:space="0" w:color="auto"/>
        <w:bottom w:val="none" w:sz="0" w:space="0" w:color="auto"/>
        <w:right w:val="none" w:sz="0" w:space="0" w:color="auto"/>
      </w:divBdr>
      <w:divsChild>
        <w:div w:id="15735890">
          <w:marLeft w:val="1138"/>
          <w:marRight w:val="0"/>
          <w:marTop w:val="160"/>
          <w:marBottom w:val="0"/>
          <w:divBdr>
            <w:top w:val="none" w:sz="0" w:space="0" w:color="auto"/>
            <w:left w:val="none" w:sz="0" w:space="0" w:color="auto"/>
            <w:bottom w:val="none" w:sz="0" w:space="0" w:color="auto"/>
            <w:right w:val="none" w:sz="0" w:space="0" w:color="auto"/>
          </w:divBdr>
        </w:div>
        <w:div w:id="893927187">
          <w:marLeft w:val="1138"/>
          <w:marRight w:val="0"/>
          <w:marTop w:val="16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image" Target="media/image4.wmf"/><Relationship Id="rId26" Type="http://schemas.openxmlformats.org/officeDocument/2006/relationships/image" Target="media/image8.wmf"/><Relationship Id="rId39" Type="http://schemas.openxmlformats.org/officeDocument/2006/relationships/image" Target="media/image17.png"/><Relationship Id="rId21" Type="http://schemas.openxmlformats.org/officeDocument/2006/relationships/oleObject" Target="embeddings/oleObject4.bin"/><Relationship Id="rId34" Type="http://schemas.openxmlformats.org/officeDocument/2006/relationships/image" Target="media/image12.png"/><Relationship Id="rId42" Type="http://schemas.openxmlformats.org/officeDocument/2006/relationships/footer" Target="footer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oleObject" Target="embeddings/oleObject8.bin"/><Relationship Id="rId41"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Specs/archive/38_series/38.211/38211-g50.zip" TargetMode="External"/><Relationship Id="rId24" Type="http://schemas.openxmlformats.org/officeDocument/2006/relationships/image" Target="media/image7.wmf"/><Relationship Id="rId32" Type="http://schemas.openxmlformats.org/officeDocument/2006/relationships/image" Target="media/image11.wmf"/><Relationship Id="rId37" Type="http://schemas.openxmlformats.org/officeDocument/2006/relationships/image" Target="media/image15.png"/><Relationship Id="rId40" Type="http://schemas.openxmlformats.org/officeDocument/2006/relationships/hyperlink" Target="https://www.3gpp.org/ftp/tsg_ran/WG1_RL1/TSGR1_106b-e/Docs/R1-2110599.zip" TargetMode="External"/><Relationship Id="rId5" Type="http://schemas.openxmlformats.org/officeDocument/2006/relationships/numbering" Target="numbering.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image" Target="media/image9.wmf"/><Relationship Id="rId36" Type="http://schemas.openxmlformats.org/officeDocument/2006/relationships/image" Target="media/image14.png"/><Relationship Id="rId10" Type="http://schemas.openxmlformats.org/officeDocument/2006/relationships/endnotes" Target="endnotes.xml"/><Relationship Id="rId19" Type="http://schemas.openxmlformats.org/officeDocument/2006/relationships/oleObject" Target="embeddings/oleObject3.bin"/><Relationship Id="rId31" Type="http://schemas.openxmlformats.org/officeDocument/2006/relationships/oleObject" Target="embeddings/oleObject9.bin"/><Relationship Id="rId44"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oleObject" Target="embeddings/oleObject7.bin"/><Relationship Id="rId30" Type="http://schemas.openxmlformats.org/officeDocument/2006/relationships/image" Target="media/image10.wmf"/><Relationship Id="rId35" Type="http://schemas.openxmlformats.org/officeDocument/2006/relationships/image" Target="media/image13.png"/><Relationship Id="rId43" Type="http://schemas.openxmlformats.org/officeDocument/2006/relationships/fontTable" Target="fontTable.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s://www.3gpp.org/ftp/tsg_ran/WG1_RL1/TSGR1_106b-e/Docs/R1-2110600.zip" TargetMode="External"/><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oleObject" Target="embeddings/oleObject10.bin"/><Relationship Id="rId38" Type="http://schemas.openxmlformats.org/officeDocument/2006/relationships/image" Target="media/image1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3.xml><?xml version="1.0" encoding="utf-8"?>
<ds:datastoreItem xmlns:ds="http://schemas.openxmlformats.org/officeDocument/2006/customXml" ds:itemID="{E530AB15-1A47-4327-9EE9-92B1450049A7}"/>
</file>

<file path=customXml/itemProps4.xml><?xml version="1.0" encoding="utf-8"?>
<ds:datastoreItem xmlns:ds="http://schemas.openxmlformats.org/officeDocument/2006/customXml" ds:itemID="{C93A020F-C79F-4126-A924-A5569F12E27A}">
  <ds:schemaRefs>
    <ds:schemaRef ds:uri="http://schemas.openxmlformats.org/package/2006/metadata/core-properties"/>
    <ds:schemaRef ds:uri="9b239327-9e80-40e4-b1b7-4394fed77a33"/>
    <ds:schemaRef ds:uri="http://schemas.microsoft.com/sharepoint/v3"/>
    <ds:schemaRef ds:uri="http://purl.org/dc/dcmitype/"/>
    <ds:schemaRef ds:uri="http://schemas.microsoft.com/office/2006/metadata/properties"/>
    <ds:schemaRef ds:uri="http://schemas.microsoft.com/office/infopath/2007/PartnerControls"/>
    <ds:schemaRef ds:uri="http://www.w3.org/XML/1998/namespace"/>
    <ds:schemaRef ds:uri="http://purl.org/dc/terms/"/>
    <ds:schemaRef ds:uri="http://schemas.microsoft.com/office/2006/documentManagement/types"/>
    <ds:schemaRef ds:uri="2f282d3b-eb4a-4b09-b61f-b9593442e286"/>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Normal.dotm</Template>
  <TotalTime>47032</TotalTime>
  <Pages>22</Pages>
  <Words>10933</Words>
  <Characters>56907</Characters>
  <Application>Microsoft Office Word</Application>
  <DocSecurity>0</DocSecurity>
  <Lines>474</Lines>
  <Paragraphs>135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67705</CharactersWithSpaces>
  <SharedDoc>false</SharedDoc>
  <HLinks>
    <vt:vector size="420" baseType="variant">
      <vt:variant>
        <vt:i4>2490371</vt:i4>
      </vt:variant>
      <vt:variant>
        <vt:i4>297</vt:i4>
      </vt:variant>
      <vt:variant>
        <vt:i4>0</vt:i4>
      </vt:variant>
      <vt:variant>
        <vt:i4>5</vt:i4>
      </vt:variant>
      <vt:variant>
        <vt:lpwstr>https://www.3gpp.org/ftp/tsg_ran/WG4_Radio/TSGR4_101-e/Docs/R4-2119055.zip</vt:lpwstr>
      </vt:variant>
      <vt:variant>
        <vt:lpwstr/>
      </vt:variant>
      <vt:variant>
        <vt:i4>7077889</vt:i4>
      </vt:variant>
      <vt:variant>
        <vt:i4>294</vt:i4>
      </vt:variant>
      <vt:variant>
        <vt:i4>0</vt:i4>
      </vt:variant>
      <vt:variant>
        <vt:i4>5</vt:i4>
      </vt:variant>
      <vt:variant>
        <vt:lpwstr>https://www.3gpp.org/ftp/Specs/archive/38_series/38.211/38211-g50.zip</vt:lpwstr>
      </vt:variant>
      <vt:variant>
        <vt:lpwstr/>
      </vt:variant>
      <vt:variant>
        <vt:i4>7143425</vt:i4>
      </vt:variant>
      <vt:variant>
        <vt:i4>291</vt:i4>
      </vt:variant>
      <vt:variant>
        <vt:i4>0</vt:i4>
      </vt:variant>
      <vt:variant>
        <vt:i4>5</vt:i4>
      </vt:variant>
      <vt:variant>
        <vt:lpwstr>https://www.3gpp.org/ftp/Specs/archive/38_series/38.306/38306-g40.zip</vt:lpwstr>
      </vt:variant>
      <vt:variant>
        <vt:lpwstr/>
      </vt:variant>
      <vt:variant>
        <vt:i4>6881281</vt:i4>
      </vt:variant>
      <vt:variant>
        <vt:i4>288</vt:i4>
      </vt:variant>
      <vt:variant>
        <vt:i4>0</vt:i4>
      </vt:variant>
      <vt:variant>
        <vt:i4>5</vt:i4>
      </vt:variant>
      <vt:variant>
        <vt:lpwstr>https://www.3gpp.org/ftp/Specs/archive/38_series/38.822/38822-f01.zip</vt:lpwstr>
      </vt:variant>
      <vt:variant>
        <vt:lpwstr/>
      </vt:variant>
      <vt:variant>
        <vt:i4>7077889</vt:i4>
      </vt:variant>
      <vt:variant>
        <vt:i4>285</vt:i4>
      </vt:variant>
      <vt:variant>
        <vt:i4>0</vt:i4>
      </vt:variant>
      <vt:variant>
        <vt:i4>5</vt:i4>
      </vt:variant>
      <vt:variant>
        <vt:lpwstr>https://www.3gpp.org/ftp/Specs/archive/38_series/38.213/38213-g50.zip</vt:lpwstr>
      </vt:variant>
      <vt:variant>
        <vt:lpwstr/>
      </vt:variant>
      <vt:variant>
        <vt:i4>6881294</vt:i4>
      </vt:variant>
      <vt:variant>
        <vt:i4>282</vt:i4>
      </vt:variant>
      <vt:variant>
        <vt:i4>0</vt:i4>
      </vt:variant>
      <vt:variant>
        <vt:i4>5</vt:i4>
      </vt:variant>
      <vt:variant>
        <vt:lpwstr>https://www.3gpp.org/ftp/Specs/archive/38_series/38.875/38875-h00.zip</vt:lpwstr>
      </vt:variant>
      <vt:variant>
        <vt:lpwstr/>
      </vt:variant>
      <vt:variant>
        <vt:i4>7143424</vt:i4>
      </vt:variant>
      <vt:variant>
        <vt:i4>279</vt:i4>
      </vt:variant>
      <vt:variant>
        <vt:i4>0</vt:i4>
      </vt:variant>
      <vt:variant>
        <vt:i4>5</vt:i4>
      </vt:variant>
      <vt:variant>
        <vt:lpwstr>https://www.3gpp.org/ftp/Specs/archive/38_series/38.331/38331-g41.zip</vt:lpwstr>
      </vt:variant>
      <vt:variant>
        <vt:lpwstr/>
      </vt:variant>
      <vt:variant>
        <vt:i4>5308477</vt:i4>
      </vt:variant>
      <vt:variant>
        <vt:i4>276</vt:i4>
      </vt:variant>
      <vt:variant>
        <vt:i4>0</vt:i4>
      </vt:variant>
      <vt:variant>
        <vt:i4>5</vt:i4>
      </vt:variant>
      <vt:variant>
        <vt:lpwstr>https://www.3gpp.org/ftp/tsg_ran/WG1_RL1/TSGR1_106b-e/Docs/R1-2110385.zip</vt:lpwstr>
      </vt:variant>
      <vt:variant>
        <vt:lpwstr/>
      </vt:variant>
      <vt:variant>
        <vt:i4>6881373</vt:i4>
      </vt:variant>
      <vt:variant>
        <vt:i4>273</vt:i4>
      </vt:variant>
      <vt:variant>
        <vt:i4>0</vt:i4>
      </vt:variant>
      <vt:variant>
        <vt:i4>5</vt:i4>
      </vt:variant>
      <vt:variant>
        <vt:lpwstr>https://www.3gpp.org/ftp/TSG_RAN/TSG_RAN/TSGR_92e/Docs/RP-211574.zip</vt:lpwstr>
      </vt:variant>
      <vt:variant>
        <vt:lpwstr/>
      </vt:variant>
      <vt:variant>
        <vt:i4>1048638</vt:i4>
      </vt:variant>
      <vt:variant>
        <vt:i4>269</vt:i4>
      </vt:variant>
      <vt:variant>
        <vt:i4>0</vt:i4>
      </vt:variant>
      <vt:variant>
        <vt:i4>5</vt:i4>
      </vt:variant>
      <vt:variant>
        <vt:lpwstr/>
      </vt:variant>
      <vt:variant>
        <vt:lpwstr>_Toc87015031</vt:lpwstr>
      </vt:variant>
      <vt:variant>
        <vt:i4>1114174</vt:i4>
      </vt:variant>
      <vt:variant>
        <vt:i4>266</vt:i4>
      </vt:variant>
      <vt:variant>
        <vt:i4>0</vt:i4>
      </vt:variant>
      <vt:variant>
        <vt:i4>5</vt:i4>
      </vt:variant>
      <vt:variant>
        <vt:lpwstr/>
      </vt:variant>
      <vt:variant>
        <vt:lpwstr>_Toc87015030</vt:lpwstr>
      </vt:variant>
      <vt:variant>
        <vt:i4>1572927</vt:i4>
      </vt:variant>
      <vt:variant>
        <vt:i4>263</vt:i4>
      </vt:variant>
      <vt:variant>
        <vt:i4>0</vt:i4>
      </vt:variant>
      <vt:variant>
        <vt:i4>5</vt:i4>
      </vt:variant>
      <vt:variant>
        <vt:lpwstr/>
      </vt:variant>
      <vt:variant>
        <vt:lpwstr>_Toc87015029</vt:lpwstr>
      </vt:variant>
      <vt:variant>
        <vt:i4>1638463</vt:i4>
      </vt:variant>
      <vt:variant>
        <vt:i4>260</vt:i4>
      </vt:variant>
      <vt:variant>
        <vt:i4>0</vt:i4>
      </vt:variant>
      <vt:variant>
        <vt:i4>5</vt:i4>
      </vt:variant>
      <vt:variant>
        <vt:lpwstr/>
      </vt:variant>
      <vt:variant>
        <vt:lpwstr>_Toc87015028</vt:lpwstr>
      </vt:variant>
      <vt:variant>
        <vt:i4>1441855</vt:i4>
      </vt:variant>
      <vt:variant>
        <vt:i4>257</vt:i4>
      </vt:variant>
      <vt:variant>
        <vt:i4>0</vt:i4>
      </vt:variant>
      <vt:variant>
        <vt:i4>5</vt:i4>
      </vt:variant>
      <vt:variant>
        <vt:lpwstr/>
      </vt:variant>
      <vt:variant>
        <vt:lpwstr>_Toc87015027</vt:lpwstr>
      </vt:variant>
      <vt:variant>
        <vt:i4>1507391</vt:i4>
      </vt:variant>
      <vt:variant>
        <vt:i4>254</vt:i4>
      </vt:variant>
      <vt:variant>
        <vt:i4>0</vt:i4>
      </vt:variant>
      <vt:variant>
        <vt:i4>5</vt:i4>
      </vt:variant>
      <vt:variant>
        <vt:lpwstr/>
      </vt:variant>
      <vt:variant>
        <vt:lpwstr>_Toc87015026</vt:lpwstr>
      </vt:variant>
      <vt:variant>
        <vt:i4>1310783</vt:i4>
      </vt:variant>
      <vt:variant>
        <vt:i4>251</vt:i4>
      </vt:variant>
      <vt:variant>
        <vt:i4>0</vt:i4>
      </vt:variant>
      <vt:variant>
        <vt:i4>5</vt:i4>
      </vt:variant>
      <vt:variant>
        <vt:lpwstr/>
      </vt:variant>
      <vt:variant>
        <vt:lpwstr>_Toc87015025</vt:lpwstr>
      </vt:variant>
      <vt:variant>
        <vt:i4>1376319</vt:i4>
      </vt:variant>
      <vt:variant>
        <vt:i4>248</vt:i4>
      </vt:variant>
      <vt:variant>
        <vt:i4>0</vt:i4>
      </vt:variant>
      <vt:variant>
        <vt:i4>5</vt:i4>
      </vt:variant>
      <vt:variant>
        <vt:lpwstr/>
      </vt:variant>
      <vt:variant>
        <vt:lpwstr>_Toc87015024</vt:lpwstr>
      </vt:variant>
      <vt:variant>
        <vt:i4>1179711</vt:i4>
      </vt:variant>
      <vt:variant>
        <vt:i4>245</vt:i4>
      </vt:variant>
      <vt:variant>
        <vt:i4>0</vt:i4>
      </vt:variant>
      <vt:variant>
        <vt:i4>5</vt:i4>
      </vt:variant>
      <vt:variant>
        <vt:lpwstr/>
      </vt:variant>
      <vt:variant>
        <vt:lpwstr>_Toc87015023</vt:lpwstr>
      </vt:variant>
      <vt:variant>
        <vt:i4>1245247</vt:i4>
      </vt:variant>
      <vt:variant>
        <vt:i4>242</vt:i4>
      </vt:variant>
      <vt:variant>
        <vt:i4>0</vt:i4>
      </vt:variant>
      <vt:variant>
        <vt:i4>5</vt:i4>
      </vt:variant>
      <vt:variant>
        <vt:lpwstr/>
      </vt:variant>
      <vt:variant>
        <vt:lpwstr>_Toc87015022</vt:lpwstr>
      </vt:variant>
      <vt:variant>
        <vt:i4>1048639</vt:i4>
      </vt:variant>
      <vt:variant>
        <vt:i4>239</vt:i4>
      </vt:variant>
      <vt:variant>
        <vt:i4>0</vt:i4>
      </vt:variant>
      <vt:variant>
        <vt:i4>5</vt:i4>
      </vt:variant>
      <vt:variant>
        <vt:lpwstr/>
      </vt:variant>
      <vt:variant>
        <vt:lpwstr>_Toc87015021</vt:lpwstr>
      </vt:variant>
      <vt:variant>
        <vt:i4>1114175</vt:i4>
      </vt:variant>
      <vt:variant>
        <vt:i4>236</vt:i4>
      </vt:variant>
      <vt:variant>
        <vt:i4>0</vt:i4>
      </vt:variant>
      <vt:variant>
        <vt:i4>5</vt:i4>
      </vt:variant>
      <vt:variant>
        <vt:lpwstr/>
      </vt:variant>
      <vt:variant>
        <vt:lpwstr>_Toc87015020</vt:lpwstr>
      </vt:variant>
      <vt:variant>
        <vt:i4>1572924</vt:i4>
      </vt:variant>
      <vt:variant>
        <vt:i4>233</vt:i4>
      </vt:variant>
      <vt:variant>
        <vt:i4>0</vt:i4>
      </vt:variant>
      <vt:variant>
        <vt:i4>5</vt:i4>
      </vt:variant>
      <vt:variant>
        <vt:lpwstr/>
      </vt:variant>
      <vt:variant>
        <vt:lpwstr>_Toc87015019</vt:lpwstr>
      </vt:variant>
      <vt:variant>
        <vt:i4>1638460</vt:i4>
      </vt:variant>
      <vt:variant>
        <vt:i4>230</vt:i4>
      </vt:variant>
      <vt:variant>
        <vt:i4>0</vt:i4>
      </vt:variant>
      <vt:variant>
        <vt:i4>5</vt:i4>
      </vt:variant>
      <vt:variant>
        <vt:lpwstr/>
      </vt:variant>
      <vt:variant>
        <vt:lpwstr>_Toc87015018</vt:lpwstr>
      </vt:variant>
      <vt:variant>
        <vt:i4>1441852</vt:i4>
      </vt:variant>
      <vt:variant>
        <vt:i4>227</vt:i4>
      </vt:variant>
      <vt:variant>
        <vt:i4>0</vt:i4>
      </vt:variant>
      <vt:variant>
        <vt:i4>5</vt:i4>
      </vt:variant>
      <vt:variant>
        <vt:lpwstr/>
      </vt:variant>
      <vt:variant>
        <vt:lpwstr>_Toc87015017</vt:lpwstr>
      </vt:variant>
      <vt:variant>
        <vt:i4>1507388</vt:i4>
      </vt:variant>
      <vt:variant>
        <vt:i4>224</vt:i4>
      </vt:variant>
      <vt:variant>
        <vt:i4>0</vt:i4>
      </vt:variant>
      <vt:variant>
        <vt:i4>5</vt:i4>
      </vt:variant>
      <vt:variant>
        <vt:lpwstr/>
      </vt:variant>
      <vt:variant>
        <vt:lpwstr>_Toc87015016</vt:lpwstr>
      </vt:variant>
      <vt:variant>
        <vt:i4>1310780</vt:i4>
      </vt:variant>
      <vt:variant>
        <vt:i4>221</vt:i4>
      </vt:variant>
      <vt:variant>
        <vt:i4>0</vt:i4>
      </vt:variant>
      <vt:variant>
        <vt:i4>5</vt:i4>
      </vt:variant>
      <vt:variant>
        <vt:lpwstr/>
      </vt:variant>
      <vt:variant>
        <vt:lpwstr>_Toc87015015</vt:lpwstr>
      </vt:variant>
      <vt:variant>
        <vt:i4>1376316</vt:i4>
      </vt:variant>
      <vt:variant>
        <vt:i4>218</vt:i4>
      </vt:variant>
      <vt:variant>
        <vt:i4>0</vt:i4>
      </vt:variant>
      <vt:variant>
        <vt:i4>5</vt:i4>
      </vt:variant>
      <vt:variant>
        <vt:lpwstr/>
      </vt:variant>
      <vt:variant>
        <vt:lpwstr>_Toc87015014</vt:lpwstr>
      </vt:variant>
      <vt:variant>
        <vt:i4>1179708</vt:i4>
      </vt:variant>
      <vt:variant>
        <vt:i4>215</vt:i4>
      </vt:variant>
      <vt:variant>
        <vt:i4>0</vt:i4>
      </vt:variant>
      <vt:variant>
        <vt:i4>5</vt:i4>
      </vt:variant>
      <vt:variant>
        <vt:lpwstr/>
      </vt:variant>
      <vt:variant>
        <vt:lpwstr>_Toc87015013</vt:lpwstr>
      </vt:variant>
      <vt:variant>
        <vt:i4>1245244</vt:i4>
      </vt:variant>
      <vt:variant>
        <vt:i4>212</vt:i4>
      </vt:variant>
      <vt:variant>
        <vt:i4>0</vt:i4>
      </vt:variant>
      <vt:variant>
        <vt:i4>5</vt:i4>
      </vt:variant>
      <vt:variant>
        <vt:lpwstr/>
      </vt:variant>
      <vt:variant>
        <vt:lpwstr>_Toc87015012</vt:lpwstr>
      </vt:variant>
      <vt:variant>
        <vt:i4>1048636</vt:i4>
      </vt:variant>
      <vt:variant>
        <vt:i4>209</vt:i4>
      </vt:variant>
      <vt:variant>
        <vt:i4>0</vt:i4>
      </vt:variant>
      <vt:variant>
        <vt:i4>5</vt:i4>
      </vt:variant>
      <vt:variant>
        <vt:lpwstr/>
      </vt:variant>
      <vt:variant>
        <vt:lpwstr>_Toc87015011</vt:lpwstr>
      </vt:variant>
      <vt:variant>
        <vt:i4>1114172</vt:i4>
      </vt:variant>
      <vt:variant>
        <vt:i4>206</vt:i4>
      </vt:variant>
      <vt:variant>
        <vt:i4>0</vt:i4>
      </vt:variant>
      <vt:variant>
        <vt:i4>5</vt:i4>
      </vt:variant>
      <vt:variant>
        <vt:lpwstr/>
      </vt:variant>
      <vt:variant>
        <vt:lpwstr>_Toc87015010</vt:lpwstr>
      </vt:variant>
      <vt:variant>
        <vt:i4>1572925</vt:i4>
      </vt:variant>
      <vt:variant>
        <vt:i4>203</vt:i4>
      </vt:variant>
      <vt:variant>
        <vt:i4>0</vt:i4>
      </vt:variant>
      <vt:variant>
        <vt:i4>5</vt:i4>
      </vt:variant>
      <vt:variant>
        <vt:lpwstr/>
      </vt:variant>
      <vt:variant>
        <vt:lpwstr>_Toc87015009</vt:lpwstr>
      </vt:variant>
      <vt:variant>
        <vt:i4>1638461</vt:i4>
      </vt:variant>
      <vt:variant>
        <vt:i4>200</vt:i4>
      </vt:variant>
      <vt:variant>
        <vt:i4>0</vt:i4>
      </vt:variant>
      <vt:variant>
        <vt:i4>5</vt:i4>
      </vt:variant>
      <vt:variant>
        <vt:lpwstr/>
      </vt:variant>
      <vt:variant>
        <vt:lpwstr>_Toc87015008</vt:lpwstr>
      </vt:variant>
      <vt:variant>
        <vt:i4>1441853</vt:i4>
      </vt:variant>
      <vt:variant>
        <vt:i4>197</vt:i4>
      </vt:variant>
      <vt:variant>
        <vt:i4>0</vt:i4>
      </vt:variant>
      <vt:variant>
        <vt:i4>5</vt:i4>
      </vt:variant>
      <vt:variant>
        <vt:lpwstr/>
      </vt:variant>
      <vt:variant>
        <vt:lpwstr>_Toc87015007</vt:lpwstr>
      </vt:variant>
      <vt:variant>
        <vt:i4>1507389</vt:i4>
      </vt:variant>
      <vt:variant>
        <vt:i4>194</vt:i4>
      </vt:variant>
      <vt:variant>
        <vt:i4>0</vt:i4>
      </vt:variant>
      <vt:variant>
        <vt:i4>5</vt:i4>
      </vt:variant>
      <vt:variant>
        <vt:lpwstr/>
      </vt:variant>
      <vt:variant>
        <vt:lpwstr>_Toc87015006</vt:lpwstr>
      </vt:variant>
      <vt:variant>
        <vt:i4>1310781</vt:i4>
      </vt:variant>
      <vt:variant>
        <vt:i4>191</vt:i4>
      </vt:variant>
      <vt:variant>
        <vt:i4>0</vt:i4>
      </vt:variant>
      <vt:variant>
        <vt:i4>5</vt:i4>
      </vt:variant>
      <vt:variant>
        <vt:lpwstr/>
      </vt:variant>
      <vt:variant>
        <vt:lpwstr>_Toc87015005</vt:lpwstr>
      </vt:variant>
      <vt:variant>
        <vt:i4>1376317</vt:i4>
      </vt:variant>
      <vt:variant>
        <vt:i4>188</vt:i4>
      </vt:variant>
      <vt:variant>
        <vt:i4>0</vt:i4>
      </vt:variant>
      <vt:variant>
        <vt:i4>5</vt:i4>
      </vt:variant>
      <vt:variant>
        <vt:lpwstr/>
      </vt:variant>
      <vt:variant>
        <vt:lpwstr>_Toc87015004</vt:lpwstr>
      </vt:variant>
      <vt:variant>
        <vt:i4>1179709</vt:i4>
      </vt:variant>
      <vt:variant>
        <vt:i4>185</vt:i4>
      </vt:variant>
      <vt:variant>
        <vt:i4>0</vt:i4>
      </vt:variant>
      <vt:variant>
        <vt:i4>5</vt:i4>
      </vt:variant>
      <vt:variant>
        <vt:lpwstr/>
      </vt:variant>
      <vt:variant>
        <vt:lpwstr>_Toc87015003</vt:lpwstr>
      </vt:variant>
      <vt:variant>
        <vt:i4>1245245</vt:i4>
      </vt:variant>
      <vt:variant>
        <vt:i4>182</vt:i4>
      </vt:variant>
      <vt:variant>
        <vt:i4>0</vt:i4>
      </vt:variant>
      <vt:variant>
        <vt:i4>5</vt:i4>
      </vt:variant>
      <vt:variant>
        <vt:lpwstr/>
      </vt:variant>
      <vt:variant>
        <vt:lpwstr>_Toc87015002</vt:lpwstr>
      </vt:variant>
      <vt:variant>
        <vt:i4>1048637</vt:i4>
      </vt:variant>
      <vt:variant>
        <vt:i4>179</vt:i4>
      </vt:variant>
      <vt:variant>
        <vt:i4>0</vt:i4>
      </vt:variant>
      <vt:variant>
        <vt:i4>5</vt:i4>
      </vt:variant>
      <vt:variant>
        <vt:lpwstr/>
      </vt:variant>
      <vt:variant>
        <vt:lpwstr>_Toc87015001</vt:lpwstr>
      </vt:variant>
      <vt:variant>
        <vt:i4>1114173</vt:i4>
      </vt:variant>
      <vt:variant>
        <vt:i4>176</vt:i4>
      </vt:variant>
      <vt:variant>
        <vt:i4>0</vt:i4>
      </vt:variant>
      <vt:variant>
        <vt:i4>5</vt:i4>
      </vt:variant>
      <vt:variant>
        <vt:lpwstr/>
      </vt:variant>
      <vt:variant>
        <vt:lpwstr>_Toc87015000</vt:lpwstr>
      </vt:variant>
      <vt:variant>
        <vt:i4>1114165</vt:i4>
      </vt:variant>
      <vt:variant>
        <vt:i4>173</vt:i4>
      </vt:variant>
      <vt:variant>
        <vt:i4>0</vt:i4>
      </vt:variant>
      <vt:variant>
        <vt:i4>5</vt:i4>
      </vt:variant>
      <vt:variant>
        <vt:lpwstr/>
      </vt:variant>
      <vt:variant>
        <vt:lpwstr>_Toc87014999</vt:lpwstr>
      </vt:variant>
      <vt:variant>
        <vt:i4>1048629</vt:i4>
      </vt:variant>
      <vt:variant>
        <vt:i4>170</vt:i4>
      </vt:variant>
      <vt:variant>
        <vt:i4>0</vt:i4>
      </vt:variant>
      <vt:variant>
        <vt:i4>5</vt:i4>
      </vt:variant>
      <vt:variant>
        <vt:lpwstr/>
      </vt:variant>
      <vt:variant>
        <vt:lpwstr>_Toc87014998</vt:lpwstr>
      </vt:variant>
      <vt:variant>
        <vt:i4>2031669</vt:i4>
      </vt:variant>
      <vt:variant>
        <vt:i4>167</vt:i4>
      </vt:variant>
      <vt:variant>
        <vt:i4>0</vt:i4>
      </vt:variant>
      <vt:variant>
        <vt:i4>5</vt:i4>
      </vt:variant>
      <vt:variant>
        <vt:lpwstr/>
      </vt:variant>
      <vt:variant>
        <vt:lpwstr>_Toc87014997</vt:lpwstr>
      </vt:variant>
      <vt:variant>
        <vt:i4>1966133</vt:i4>
      </vt:variant>
      <vt:variant>
        <vt:i4>164</vt:i4>
      </vt:variant>
      <vt:variant>
        <vt:i4>0</vt:i4>
      </vt:variant>
      <vt:variant>
        <vt:i4>5</vt:i4>
      </vt:variant>
      <vt:variant>
        <vt:lpwstr/>
      </vt:variant>
      <vt:variant>
        <vt:lpwstr>_Toc87014996</vt:lpwstr>
      </vt:variant>
      <vt:variant>
        <vt:i4>1900597</vt:i4>
      </vt:variant>
      <vt:variant>
        <vt:i4>161</vt:i4>
      </vt:variant>
      <vt:variant>
        <vt:i4>0</vt:i4>
      </vt:variant>
      <vt:variant>
        <vt:i4>5</vt:i4>
      </vt:variant>
      <vt:variant>
        <vt:lpwstr/>
      </vt:variant>
      <vt:variant>
        <vt:lpwstr>_Toc87014995</vt:lpwstr>
      </vt:variant>
      <vt:variant>
        <vt:i4>1835061</vt:i4>
      </vt:variant>
      <vt:variant>
        <vt:i4>158</vt:i4>
      </vt:variant>
      <vt:variant>
        <vt:i4>0</vt:i4>
      </vt:variant>
      <vt:variant>
        <vt:i4>5</vt:i4>
      </vt:variant>
      <vt:variant>
        <vt:lpwstr/>
      </vt:variant>
      <vt:variant>
        <vt:lpwstr>_Toc87014994</vt:lpwstr>
      </vt:variant>
      <vt:variant>
        <vt:i4>1769525</vt:i4>
      </vt:variant>
      <vt:variant>
        <vt:i4>155</vt:i4>
      </vt:variant>
      <vt:variant>
        <vt:i4>0</vt:i4>
      </vt:variant>
      <vt:variant>
        <vt:i4>5</vt:i4>
      </vt:variant>
      <vt:variant>
        <vt:lpwstr/>
      </vt:variant>
      <vt:variant>
        <vt:lpwstr>_Toc87014993</vt:lpwstr>
      </vt:variant>
      <vt:variant>
        <vt:i4>1703989</vt:i4>
      </vt:variant>
      <vt:variant>
        <vt:i4>152</vt:i4>
      </vt:variant>
      <vt:variant>
        <vt:i4>0</vt:i4>
      </vt:variant>
      <vt:variant>
        <vt:i4>5</vt:i4>
      </vt:variant>
      <vt:variant>
        <vt:lpwstr/>
      </vt:variant>
      <vt:variant>
        <vt:lpwstr>_Toc87014992</vt:lpwstr>
      </vt:variant>
      <vt:variant>
        <vt:i4>1638453</vt:i4>
      </vt:variant>
      <vt:variant>
        <vt:i4>149</vt:i4>
      </vt:variant>
      <vt:variant>
        <vt:i4>0</vt:i4>
      </vt:variant>
      <vt:variant>
        <vt:i4>5</vt:i4>
      </vt:variant>
      <vt:variant>
        <vt:lpwstr/>
      </vt:variant>
      <vt:variant>
        <vt:lpwstr>_Toc87014991</vt:lpwstr>
      </vt:variant>
      <vt:variant>
        <vt:i4>1572917</vt:i4>
      </vt:variant>
      <vt:variant>
        <vt:i4>146</vt:i4>
      </vt:variant>
      <vt:variant>
        <vt:i4>0</vt:i4>
      </vt:variant>
      <vt:variant>
        <vt:i4>5</vt:i4>
      </vt:variant>
      <vt:variant>
        <vt:lpwstr/>
      </vt:variant>
      <vt:variant>
        <vt:lpwstr>_Toc87014990</vt:lpwstr>
      </vt:variant>
      <vt:variant>
        <vt:i4>1114164</vt:i4>
      </vt:variant>
      <vt:variant>
        <vt:i4>143</vt:i4>
      </vt:variant>
      <vt:variant>
        <vt:i4>0</vt:i4>
      </vt:variant>
      <vt:variant>
        <vt:i4>5</vt:i4>
      </vt:variant>
      <vt:variant>
        <vt:lpwstr/>
      </vt:variant>
      <vt:variant>
        <vt:lpwstr>_Toc87014989</vt:lpwstr>
      </vt:variant>
      <vt:variant>
        <vt:i4>1048628</vt:i4>
      </vt:variant>
      <vt:variant>
        <vt:i4>137</vt:i4>
      </vt:variant>
      <vt:variant>
        <vt:i4>0</vt:i4>
      </vt:variant>
      <vt:variant>
        <vt:i4>5</vt:i4>
      </vt:variant>
      <vt:variant>
        <vt:lpwstr/>
      </vt:variant>
      <vt:variant>
        <vt:lpwstr>_Toc87014988</vt:lpwstr>
      </vt:variant>
      <vt:variant>
        <vt:i4>2031668</vt:i4>
      </vt:variant>
      <vt:variant>
        <vt:i4>134</vt:i4>
      </vt:variant>
      <vt:variant>
        <vt:i4>0</vt:i4>
      </vt:variant>
      <vt:variant>
        <vt:i4>5</vt:i4>
      </vt:variant>
      <vt:variant>
        <vt:lpwstr/>
      </vt:variant>
      <vt:variant>
        <vt:lpwstr>_Toc87014987</vt:lpwstr>
      </vt:variant>
      <vt:variant>
        <vt:i4>1966132</vt:i4>
      </vt:variant>
      <vt:variant>
        <vt:i4>131</vt:i4>
      </vt:variant>
      <vt:variant>
        <vt:i4>0</vt:i4>
      </vt:variant>
      <vt:variant>
        <vt:i4>5</vt:i4>
      </vt:variant>
      <vt:variant>
        <vt:lpwstr/>
      </vt:variant>
      <vt:variant>
        <vt:lpwstr>_Toc87014986</vt:lpwstr>
      </vt:variant>
      <vt:variant>
        <vt:i4>1900596</vt:i4>
      </vt:variant>
      <vt:variant>
        <vt:i4>128</vt:i4>
      </vt:variant>
      <vt:variant>
        <vt:i4>0</vt:i4>
      </vt:variant>
      <vt:variant>
        <vt:i4>5</vt:i4>
      </vt:variant>
      <vt:variant>
        <vt:lpwstr/>
      </vt:variant>
      <vt:variant>
        <vt:lpwstr>_Toc87014985</vt:lpwstr>
      </vt:variant>
      <vt:variant>
        <vt:i4>1835060</vt:i4>
      </vt:variant>
      <vt:variant>
        <vt:i4>125</vt:i4>
      </vt:variant>
      <vt:variant>
        <vt:i4>0</vt:i4>
      </vt:variant>
      <vt:variant>
        <vt:i4>5</vt:i4>
      </vt:variant>
      <vt:variant>
        <vt:lpwstr/>
      </vt:variant>
      <vt:variant>
        <vt:lpwstr>_Toc87014984</vt:lpwstr>
      </vt:variant>
      <vt:variant>
        <vt:i4>1769524</vt:i4>
      </vt:variant>
      <vt:variant>
        <vt:i4>122</vt:i4>
      </vt:variant>
      <vt:variant>
        <vt:i4>0</vt:i4>
      </vt:variant>
      <vt:variant>
        <vt:i4>5</vt:i4>
      </vt:variant>
      <vt:variant>
        <vt:lpwstr/>
      </vt:variant>
      <vt:variant>
        <vt:lpwstr>_Toc87014983</vt:lpwstr>
      </vt:variant>
      <vt:variant>
        <vt:i4>1703988</vt:i4>
      </vt:variant>
      <vt:variant>
        <vt:i4>119</vt:i4>
      </vt:variant>
      <vt:variant>
        <vt:i4>0</vt:i4>
      </vt:variant>
      <vt:variant>
        <vt:i4>5</vt:i4>
      </vt:variant>
      <vt:variant>
        <vt:lpwstr/>
      </vt:variant>
      <vt:variant>
        <vt:lpwstr>_Toc87014982</vt:lpwstr>
      </vt:variant>
      <vt:variant>
        <vt:i4>1638452</vt:i4>
      </vt:variant>
      <vt:variant>
        <vt:i4>116</vt:i4>
      </vt:variant>
      <vt:variant>
        <vt:i4>0</vt:i4>
      </vt:variant>
      <vt:variant>
        <vt:i4>5</vt:i4>
      </vt:variant>
      <vt:variant>
        <vt:lpwstr/>
      </vt:variant>
      <vt:variant>
        <vt:lpwstr>_Toc87014981</vt:lpwstr>
      </vt:variant>
      <vt:variant>
        <vt:i4>1572916</vt:i4>
      </vt:variant>
      <vt:variant>
        <vt:i4>113</vt:i4>
      </vt:variant>
      <vt:variant>
        <vt:i4>0</vt:i4>
      </vt:variant>
      <vt:variant>
        <vt:i4>5</vt:i4>
      </vt:variant>
      <vt:variant>
        <vt:lpwstr/>
      </vt:variant>
      <vt:variant>
        <vt:lpwstr>_Toc87014980</vt:lpwstr>
      </vt:variant>
      <vt:variant>
        <vt:i4>1114171</vt:i4>
      </vt:variant>
      <vt:variant>
        <vt:i4>110</vt:i4>
      </vt:variant>
      <vt:variant>
        <vt:i4>0</vt:i4>
      </vt:variant>
      <vt:variant>
        <vt:i4>5</vt:i4>
      </vt:variant>
      <vt:variant>
        <vt:lpwstr/>
      </vt:variant>
      <vt:variant>
        <vt:lpwstr>_Toc87014979</vt:lpwstr>
      </vt:variant>
      <vt:variant>
        <vt:i4>1048635</vt:i4>
      </vt:variant>
      <vt:variant>
        <vt:i4>107</vt:i4>
      </vt:variant>
      <vt:variant>
        <vt:i4>0</vt:i4>
      </vt:variant>
      <vt:variant>
        <vt:i4>5</vt:i4>
      </vt:variant>
      <vt:variant>
        <vt:lpwstr/>
      </vt:variant>
      <vt:variant>
        <vt:lpwstr>_Toc87014978</vt:lpwstr>
      </vt:variant>
      <vt:variant>
        <vt:i4>2031675</vt:i4>
      </vt:variant>
      <vt:variant>
        <vt:i4>104</vt:i4>
      </vt:variant>
      <vt:variant>
        <vt:i4>0</vt:i4>
      </vt:variant>
      <vt:variant>
        <vt:i4>5</vt:i4>
      </vt:variant>
      <vt:variant>
        <vt:lpwstr/>
      </vt:variant>
      <vt:variant>
        <vt:lpwstr>_Toc87014977</vt:lpwstr>
      </vt:variant>
      <vt:variant>
        <vt:i4>1966139</vt:i4>
      </vt:variant>
      <vt:variant>
        <vt:i4>101</vt:i4>
      </vt:variant>
      <vt:variant>
        <vt:i4>0</vt:i4>
      </vt:variant>
      <vt:variant>
        <vt:i4>5</vt:i4>
      </vt:variant>
      <vt:variant>
        <vt:lpwstr/>
      </vt:variant>
      <vt:variant>
        <vt:lpwstr>_Toc87014976</vt:lpwstr>
      </vt:variant>
      <vt:variant>
        <vt:i4>1900603</vt:i4>
      </vt:variant>
      <vt:variant>
        <vt:i4>98</vt:i4>
      </vt:variant>
      <vt:variant>
        <vt:i4>0</vt:i4>
      </vt:variant>
      <vt:variant>
        <vt:i4>5</vt:i4>
      </vt:variant>
      <vt:variant>
        <vt:lpwstr/>
      </vt:variant>
      <vt:variant>
        <vt:lpwstr>_Toc87014975</vt:lpwstr>
      </vt:variant>
      <vt:variant>
        <vt:i4>1835067</vt:i4>
      </vt:variant>
      <vt:variant>
        <vt:i4>95</vt:i4>
      </vt:variant>
      <vt:variant>
        <vt:i4>0</vt:i4>
      </vt:variant>
      <vt:variant>
        <vt:i4>5</vt:i4>
      </vt:variant>
      <vt:variant>
        <vt:lpwstr/>
      </vt:variant>
      <vt:variant>
        <vt:lpwstr>_Toc87014974</vt:lpwstr>
      </vt:variant>
      <vt:variant>
        <vt:i4>5832765</vt:i4>
      </vt:variant>
      <vt:variant>
        <vt:i4>9</vt:i4>
      </vt:variant>
      <vt:variant>
        <vt:i4>0</vt:i4>
      </vt:variant>
      <vt:variant>
        <vt:i4>5</vt:i4>
      </vt:variant>
      <vt:variant>
        <vt:lpwstr>https://www.3gpp.org/ftp/tsg_ran/WG1_RL1/TSGR1_106b-e/Docs/R1-2110600.zip</vt:lpwstr>
      </vt:variant>
      <vt:variant>
        <vt:lpwstr/>
      </vt:variant>
      <vt:variant>
        <vt:i4>5242935</vt:i4>
      </vt:variant>
      <vt:variant>
        <vt:i4>6</vt:i4>
      </vt:variant>
      <vt:variant>
        <vt:i4>0</vt:i4>
      </vt:variant>
      <vt:variant>
        <vt:i4>5</vt:i4>
      </vt:variant>
      <vt:variant>
        <vt:lpwstr>https://www.3gpp.org/ftp/tsg_ran/WG1_RL1/TSGR1_106b-e/Docs/R1-2110599.zip</vt:lpwstr>
      </vt:variant>
      <vt:variant>
        <vt:lpwstr/>
      </vt:variant>
      <vt:variant>
        <vt:i4>6356993</vt:i4>
      </vt:variant>
      <vt:variant>
        <vt:i4>0</vt:i4>
      </vt:variant>
      <vt:variant>
        <vt:i4>0</vt:i4>
      </vt:variant>
      <vt:variant>
        <vt:i4>5</vt:i4>
      </vt:variant>
      <vt:variant>
        <vt:lpwstr>mailto:sorour.falahati@ericsson.com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
  <cp:keywords>3GPP; Ericsson; TDoc</cp:keywords>
  <dc:description/>
  <cp:lastModifiedBy>Johan Bergman</cp:lastModifiedBy>
  <cp:revision>4113</cp:revision>
  <cp:lastPrinted>2008-01-31T07:09:00Z</cp:lastPrinted>
  <dcterms:created xsi:type="dcterms:W3CDTF">2021-02-25T19:03:00Z</dcterms:created>
  <dcterms:modified xsi:type="dcterms:W3CDTF">2021-11-06T02:11:00Z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